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994" w:rsidRPr="00A92520" w:rsidRDefault="00EB7994" w:rsidP="00EB7994">
      <w:pPr>
        <w:spacing w:after="0" w:line="240" w:lineRule="auto"/>
        <w:jc w:val="center"/>
        <w:rPr>
          <w:rFonts w:ascii="Times New Roman" w:hAnsi="Times New Roman" w:cs="Times New Roman"/>
          <w:b/>
          <w:sz w:val="28"/>
          <w:szCs w:val="28"/>
          <w:lang w:val="en-US"/>
        </w:rPr>
      </w:pPr>
      <w:r w:rsidRPr="00A92520">
        <w:rPr>
          <w:rFonts w:ascii="Times New Roman" w:hAnsi="Times New Roman" w:cs="Times New Roman"/>
          <w:b/>
          <w:sz w:val="28"/>
          <w:szCs w:val="28"/>
        </w:rPr>
        <w:t>K</w:t>
      </w:r>
      <w:bookmarkStart w:id="0" w:name="_GoBack"/>
      <w:bookmarkEnd w:id="0"/>
      <w:r w:rsidRPr="00A92520">
        <w:rPr>
          <w:rFonts w:ascii="Times New Roman" w:hAnsi="Times New Roman" w:cs="Times New Roman"/>
          <w:b/>
          <w:sz w:val="28"/>
          <w:szCs w:val="28"/>
        </w:rPr>
        <w:t xml:space="preserve">EDUDUKAN OBJEK JAMINAN FIDUSIA </w:t>
      </w:r>
    </w:p>
    <w:p w:rsidR="00EB7994" w:rsidRPr="00A92520" w:rsidRDefault="00EB7994" w:rsidP="00EB7994">
      <w:pPr>
        <w:spacing w:after="0" w:line="240" w:lineRule="auto"/>
        <w:jc w:val="center"/>
        <w:rPr>
          <w:rFonts w:ascii="Times New Roman" w:hAnsi="Times New Roman" w:cs="Times New Roman"/>
          <w:b/>
          <w:sz w:val="28"/>
          <w:szCs w:val="28"/>
        </w:rPr>
      </w:pPr>
      <w:r w:rsidRPr="00A92520">
        <w:rPr>
          <w:rFonts w:ascii="Times New Roman" w:hAnsi="Times New Roman" w:cs="Times New Roman"/>
          <w:b/>
          <w:sz w:val="28"/>
          <w:szCs w:val="28"/>
        </w:rPr>
        <w:t>YANG DIRAMPAS OLEH NEGARA</w:t>
      </w:r>
    </w:p>
    <w:p w:rsidR="00EB7994" w:rsidRPr="00A92520" w:rsidRDefault="00EB7994" w:rsidP="00EB7994">
      <w:pPr>
        <w:spacing w:after="0" w:line="240" w:lineRule="auto"/>
        <w:jc w:val="center"/>
        <w:rPr>
          <w:rFonts w:ascii="Times New Roman" w:hAnsi="Times New Roman" w:cs="Times New Roman"/>
          <w:b/>
          <w:sz w:val="28"/>
          <w:szCs w:val="28"/>
        </w:rPr>
      </w:pPr>
      <w:r w:rsidRPr="00A92520">
        <w:rPr>
          <w:rFonts w:ascii="Times New Roman" w:hAnsi="Times New Roman" w:cs="Times New Roman"/>
          <w:b/>
          <w:sz w:val="28"/>
          <w:szCs w:val="28"/>
        </w:rPr>
        <w:t>(Studi Kasus atas Putusan Mahkamah Agung No. 1270 K/PDT/2015)</w:t>
      </w:r>
    </w:p>
    <w:p w:rsidR="00EB7994" w:rsidRPr="00A92520" w:rsidRDefault="00EB7994" w:rsidP="00EB7994">
      <w:pPr>
        <w:jc w:val="center"/>
        <w:rPr>
          <w:rFonts w:ascii="Times New Roman" w:hAnsi="Times New Roman" w:cs="Times New Roman"/>
          <w:b/>
          <w:sz w:val="28"/>
          <w:szCs w:val="28"/>
          <w:lang w:val="en-US"/>
        </w:rPr>
      </w:pPr>
    </w:p>
    <w:p w:rsidR="00EB7994" w:rsidRDefault="00EB7994" w:rsidP="00EB7994">
      <w:pPr>
        <w:jc w:val="center"/>
        <w:rPr>
          <w:rFonts w:ascii="Times New Roman" w:hAnsi="Times New Roman" w:cs="Times New Roman"/>
          <w:b/>
          <w:sz w:val="24"/>
          <w:szCs w:val="24"/>
          <w:lang w:val="en-US"/>
        </w:rPr>
      </w:pPr>
      <w:r w:rsidRPr="00A92520">
        <w:rPr>
          <w:rFonts w:ascii="Times New Roman" w:hAnsi="Times New Roman" w:cs="Times New Roman"/>
          <w:b/>
          <w:sz w:val="28"/>
          <w:szCs w:val="28"/>
          <w:lang w:val="en-US"/>
        </w:rPr>
        <w:t>JURNAL ILMIAH</w:t>
      </w:r>
    </w:p>
    <w:p w:rsidR="00EB7994" w:rsidRDefault="00EB7994" w:rsidP="00EB7994">
      <w:pPr>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drawing>
          <wp:inline distT="0" distB="0" distL="0" distR="0" wp14:anchorId="0D06DC04" wp14:editId="5B33491D">
            <wp:extent cx="3695700" cy="2882646"/>
            <wp:effectExtent l="0" t="0" r="0" b="0"/>
            <wp:docPr id="1" name="Picture 1" descr="C:\Users\ARTMA\Documents\Logo unram universitas mata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MA\Documents\Logo unram universitas mata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882646"/>
                    </a:xfrm>
                    <a:prstGeom prst="rect">
                      <a:avLst/>
                    </a:prstGeom>
                    <a:noFill/>
                    <a:ln>
                      <a:noFill/>
                    </a:ln>
                  </pic:spPr>
                </pic:pic>
              </a:graphicData>
            </a:graphic>
          </wp:inline>
        </w:drawing>
      </w:r>
    </w:p>
    <w:p w:rsidR="00EB7994" w:rsidRPr="00A92520" w:rsidRDefault="00EB7994" w:rsidP="00EB7994">
      <w:pPr>
        <w:jc w:val="center"/>
        <w:rPr>
          <w:rFonts w:ascii="Times New Roman" w:hAnsi="Times New Roman" w:cs="Times New Roman"/>
          <w:b/>
          <w:sz w:val="28"/>
          <w:szCs w:val="28"/>
          <w:lang w:val="en-US"/>
        </w:rPr>
      </w:pPr>
    </w:p>
    <w:p w:rsidR="00EB7994" w:rsidRPr="00A92520" w:rsidRDefault="00EB7994" w:rsidP="00EB7994">
      <w:pPr>
        <w:jc w:val="center"/>
        <w:rPr>
          <w:rFonts w:ascii="Times New Roman" w:hAnsi="Times New Roman" w:cs="Times New Roman"/>
          <w:b/>
          <w:sz w:val="28"/>
          <w:szCs w:val="28"/>
          <w:lang w:val="en-US"/>
        </w:rPr>
      </w:pPr>
      <w:r w:rsidRPr="00A92520">
        <w:rPr>
          <w:rFonts w:ascii="Times New Roman" w:hAnsi="Times New Roman" w:cs="Times New Roman"/>
          <w:b/>
          <w:sz w:val="28"/>
          <w:szCs w:val="28"/>
          <w:lang w:val="en-US"/>
        </w:rPr>
        <w:t>LALU AGUNG INDRAWAN GINAWANG</w:t>
      </w:r>
    </w:p>
    <w:p w:rsidR="00EB7994" w:rsidRPr="00A92520" w:rsidRDefault="00EB7994" w:rsidP="00EB7994">
      <w:pPr>
        <w:jc w:val="center"/>
        <w:rPr>
          <w:rFonts w:ascii="Times New Roman" w:hAnsi="Times New Roman" w:cs="Times New Roman"/>
          <w:b/>
          <w:sz w:val="28"/>
          <w:szCs w:val="28"/>
          <w:lang w:val="en-US"/>
        </w:rPr>
      </w:pPr>
      <w:r w:rsidRPr="00A92520">
        <w:rPr>
          <w:rFonts w:ascii="Times New Roman" w:hAnsi="Times New Roman" w:cs="Times New Roman"/>
          <w:b/>
          <w:sz w:val="28"/>
          <w:szCs w:val="28"/>
          <w:lang w:val="en-US"/>
        </w:rPr>
        <w:t>D1A015122</w:t>
      </w:r>
    </w:p>
    <w:p w:rsidR="00EB7994" w:rsidRPr="00A92520" w:rsidRDefault="00EB7994" w:rsidP="00EB7994">
      <w:pPr>
        <w:jc w:val="center"/>
        <w:rPr>
          <w:rFonts w:ascii="Times New Roman" w:hAnsi="Times New Roman" w:cs="Times New Roman"/>
          <w:b/>
          <w:sz w:val="28"/>
          <w:szCs w:val="28"/>
          <w:lang w:val="en-US"/>
        </w:rPr>
      </w:pPr>
    </w:p>
    <w:p w:rsidR="00EB7994" w:rsidRPr="00A92520" w:rsidRDefault="00EB7994" w:rsidP="00EB7994">
      <w:pPr>
        <w:jc w:val="center"/>
        <w:rPr>
          <w:rFonts w:ascii="Times New Roman" w:hAnsi="Times New Roman" w:cs="Times New Roman"/>
          <w:b/>
          <w:sz w:val="28"/>
          <w:szCs w:val="28"/>
          <w:lang w:val="en-US"/>
        </w:rPr>
      </w:pPr>
    </w:p>
    <w:p w:rsidR="00EB7994" w:rsidRPr="00A92520" w:rsidRDefault="00EB7994" w:rsidP="00EB7994">
      <w:pPr>
        <w:jc w:val="center"/>
        <w:rPr>
          <w:rFonts w:ascii="Times New Roman" w:hAnsi="Times New Roman" w:cs="Times New Roman"/>
          <w:b/>
          <w:sz w:val="28"/>
          <w:szCs w:val="28"/>
          <w:lang w:val="en-US"/>
        </w:rPr>
      </w:pPr>
    </w:p>
    <w:p w:rsidR="00EB7994" w:rsidRPr="00A92520" w:rsidRDefault="00EB7994" w:rsidP="00EB7994">
      <w:pPr>
        <w:jc w:val="center"/>
        <w:rPr>
          <w:rFonts w:ascii="Times New Roman" w:hAnsi="Times New Roman" w:cs="Times New Roman"/>
          <w:b/>
          <w:sz w:val="28"/>
          <w:szCs w:val="28"/>
          <w:lang w:val="en-US"/>
        </w:rPr>
      </w:pPr>
    </w:p>
    <w:p w:rsidR="00EB7994" w:rsidRPr="00A92520" w:rsidRDefault="00EB7994" w:rsidP="00EB7994">
      <w:pPr>
        <w:jc w:val="center"/>
        <w:rPr>
          <w:rFonts w:ascii="Times New Roman" w:hAnsi="Times New Roman" w:cs="Times New Roman"/>
          <w:b/>
          <w:sz w:val="28"/>
          <w:szCs w:val="28"/>
          <w:lang w:val="en-US"/>
        </w:rPr>
      </w:pPr>
      <w:r w:rsidRPr="00A92520">
        <w:rPr>
          <w:rFonts w:ascii="Times New Roman" w:hAnsi="Times New Roman" w:cs="Times New Roman"/>
          <w:b/>
          <w:sz w:val="28"/>
          <w:szCs w:val="28"/>
          <w:lang w:val="en-US"/>
        </w:rPr>
        <w:t>FAKULTAS HUKUM</w:t>
      </w:r>
    </w:p>
    <w:p w:rsidR="00EB7994" w:rsidRPr="00A92520" w:rsidRDefault="00EB7994" w:rsidP="00EB7994">
      <w:pPr>
        <w:jc w:val="center"/>
        <w:rPr>
          <w:rFonts w:ascii="Times New Roman" w:hAnsi="Times New Roman" w:cs="Times New Roman"/>
          <w:b/>
          <w:sz w:val="28"/>
          <w:szCs w:val="28"/>
          <w:lang w:val="en-US"/>
        </w:rPr>
      </w:pPr>
      <w:r w:rsidRPr="00A92520">
        <w:rPr>
          <w:rFonts w:ascii="Times New Roman" w:hAnsi="Times New Roman" w:cs="Times New Roman"/>
          <w:b/>
          <w:sz w:val="28"/>
          <w:szCs w:val="28"/>
          <w:lang w:val="en-US"/>
        </w:rPr>
        <w:t>UNIVERSITAS MATARAM</w:t>
      </w:r>
    </w:p>
    <w:p w:rsidR="009C5097" w:rsidRPr="00EB7994" w:rsidRDefault="00EB7994" w:rsidP="00EB7994">
      <w:pPr>
        <w:jc w:val="center"/>
        <w:rPr>
          <w:rFonts w:ascii="Times New Roman" w:hAnsi="Times New Roman" w:cs="Times New Roman"/>
          <w:b/>
          <w:sz w:val="28"/>
          <w:szCs w:val="28"/>
        </w:rPr>
        <w:sectPr w:rsidR="009C5097" w:rsidRPr="00EB7994" w:rsidSect="006815B6">
          <w:headerReference w:type="default" r:id="rId9"/>
          <w:pgSz w:w="11906" w:h="16838"/>
          <w:pgMar w:top="2268" w:right="1701" w:bottom="1701" w:left="2268" w:header="709" w:footer="709" w:gutter="0"/>
          <w:cols w:space="708"/>
          <w:docGrid w:linePitch="360"/>
        </w:sectPr>
      </w:pPr>
      <w:r w:rsidRPr="00A92520">
        <w:rPr>
          <w:rFonts w:ascii="Times New Roman" w:hAnsi="Times New Roman" w:cs="Times New Roman"/>
          <w:b/>
          <w:sz w:val="28"/>
          <w:szCs w:val="28"/>
          <w:lang w:val="en-US"/>
        </w:rPr>
        <w:t>2020</w:t>
      </w:r>
      <w:r w:rsidR="00EA39B5">
        <w:rPr>
          <w:rFonts w:ascii="Times New Roman" w:hAnsi="Times New Roman" w:cs="Times New Roman"/>
          <w:b/>
          <w:sz w:val="24"/>
          <w:szCs w:val="24"/>
        </w:rPr>
        <w:br w:type="page"/>
      </w:r>
    </w:p>
    <w:p w:rsidR="00EB7994" w:rsidRDefault="00EB7994">
      <w:pPr>
        <w:rPr>
          <w:rFonts w:ascii="Times New Roman" w:hAnsi="Times New Roman" w:cs="Times New Roman"/>
          <w:b/>
          <w:noProof/>
          <w:sz w:val="28"/>
          <w:szCs w:val="28"/>
          <w:lang w:val="en-US"/>
        </w:rPr>
      </w:pPr>
      <w:r>
        <w:rPr>
          <w:rFonts w:ascii="Times New Roman" w:hAnsi="Times New Roman" w:cs="Times New Roman"/>
          <w:b/>
          <w:noProof/>
          <w:sz w:val="28"/>
          <w:szCs w:val="28"/>
          <w:lang w:val="en-US"/>
        </w:rPr>
        <w:lastRenderedPageBreak/>
        <w:drawing>
          <wp:anchor distT="0" distB="0" distL="114300" distR="114300" simplePos="0" relativeHeight="251664384" behindDoc="1" locked="0" layoutInCell="1" allowOverlap="1" wp14:anchorId="5CB38F79" wp14:editId="6F93FFA7">
            <wp:simplePos x="0" y="0"/>
            <wp:positionH relativeFrom="column">
              <wp:posOffset>-897255</wp:posOffset>
            </wp:positionH>
            <wp:positionV relativeFrom="paragraph">
              <wp:posOffset>-687705</wp:posOffset>
            </wp:positionV>
            <wp:extent cx="7153275" cy="9182100"/>
            <wp:effectExtent l="0" t="0" r="0" b="0"/>
            <wp:wrapNone/>
            <wp:docPr id="4" name="Picture 4" descr="C:\Users\MAST3R\AppData\Local\Microsoft\Windows\INetCache\Content.Word\WhatsApp Image 2020-09-16 at 10.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T3R\AppData\Local\Microsoft\Windows\INetCache\Content.Word\WhatsApp Image 2020-09-16 at 10.17.2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057"/>
                    <a:stretch/>
                  </pic:blipFill>
                  <pic:spPr bwMode="auto">
                    <a:xfrm>
                      <a:off x="0" y="0"/>
                      <a:ext cx="7153275" cy="918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B7994" w:rsidRDefault="00EB7994">
      <w:pPr>
        <w:rPr>
          <w:rFonts w:ascii="Times New Roman" w:hAnsi="Times New Roman" w:cs="Times New Roman"/>
          <w:b/>
          <w:sz w:val="24"/>
          <w:szCs w:val="24"/>
        </w:rPr>
      </w:pPr>
      <w:r>
        <w:rPr>
          <w:rFonts w:ascii="Times New Roman" w:hAnsi="Times New Roman" w:cs="Times New Roman"/>
          <w:b/>
          <w:sz w:val="24"/>
          <w:szCs w:val="24"/>
        </w:rPr>
        <w:br w:type="page"/>
      </w:r>
    </w:p>
    <w:p w:rsidR="006D2B72" w:rsidRPr="00A83A33" w:rsidRDefault="006D2B72" w:rsidP="009C5097">
      <w:pPr>
        <w:spacing w:after="0" w:line="240" w:lineRule="auto"/>
        <w:jc w:val="center"/>
        <w:rPr>
          <w:rFonts w:ascii="Times New Roman" w:hAnsi="Times New Roman" w:cs="Times New Roman"/>
          <w:b/>
          <w:sz w:val="24"/>
          <w:szCs w:val="24"/>
        </w:rPr>
      </w:pPr>
      <w:r w:rsidRPr="00A83A33">
        <w:rPr>
          <w:rFonts w:ascii="Times New Roman" w:hAnsi="Times New Roman" w:cs="Times New Roman"/>
          <w:b/>
          <w:sz w:val="24"/>
          <w:szCs w:val="24"/>
        </w:rPr>
        <w:lastRenderedPageBreak/>
        <w:t>KEDUDUKAN OBJEK JAMINAN FIDUSIA YANG DIRAMPAS OLEH NEGARA</w:t>
      </w:r>
    </w:p>
    <w:p w:rsidR="00A83A33" w:rsidRPr="00A83A33" w:rsidRDefault="00A83A33" w:rsidP="00321059">
      <w:pPr>
        <w:spacing w:line="240" w:lineRule="auto"/>
        <w:jc w:val="center"/>
        <w:rPr>
          <w:rFonts w:ascii="Times New Roman" w:hAnsi="Times New Roman" w:cs="Times New Roman"/>
          <w:b/>
          <w:sz w:val="24"/>
          <w:szCs w:val="24"/>
        </w:rPr>
      </w:pPr>
      <w:r w:rsidRPr="00A83A33">
        <w:rPr>
          <w:rFonts w:ascii="Times New Roman" w:hAnsi="Times New Roman" w:cs="Times New Roman"/>
          <w:b/>
          <w:sz w:val="24"/>
          <w:szCs w:val="24"/>
        </w:rPr>
        <w:t>(Studi Kasus atas Putusan Mahkamah Agung No. 1270 K/PDT/2015)</w:t>
      </w:r>
    </w:p>
    <w:p w:rsidR="00A83A33" w:rsidRDefault="00321059" w:rsidP="003210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LALU AGUNG INDRAWAN GINAWANG</w:t>
      </w:r>
    </w:p>
    <w:p w:rsidR="00321059" w:rsidRDefault="00321059" w:rsidP="0032105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D1A015122</w:t>
      </w:r>
    </w:p>
    <w:p w:rsidR="00321059" w:rsidRDefault="00321059" w:rsidP="003210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Fakultas Hukum</w:t>
      </w:r>
    </w:p>
    <w:p w:rsidR="00321059" w:rsidRPr="00321059" w:rsidRDefault="00321059" w:rsidP="0032105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Universitas Mataram</w:t>
      </w:r>
    </w:p>
    <w:p w:rsidR="00A83A33" w:rsidRPr="00A83A33" w:rsidRDefault="00321059" w:rsidP="00A83A33">
      <w:pPr>
        <w:spacing w:after="0"/>
        <w:jc w:val="center"/>
        <w:rPr>
          <w:rFonts w:ascii="Times New Roman" w:hAnsi="Times New Roman" w:cs="Times New Roman"/>
          <w:b/>
          <w:sz w:val="24"/>
          <w:szCs w:val="24"/>
        </w:rPr>
      </w:pPr>
      <w:r w:rsidRPr="00A83A33">
        <w:rPr>
          <w:rFonts w:ascii="Times New Roman" w:hAnsi="Times New Roman" w:cs="Times New Roman"/>
          <w:b/>
          <w:sz w:val="24"/>
          <w:szCs w:val="24"/>
        </w:rPr>
        <w:t>ABSTRAK</w:t>
      </w:r>
    </w:p>
    <w:p w:rsidR="00A83A33" w:rsidRDefault="00A83A33" w:rsidP="00A83A33">
      <w:pPr>
        <w:spacing w:after="0"/>
        <w:jc w:val="both"/>
        <w:rPr>
          <w:rFonts w:ascii="Times New Roman" w:hAnsi="Times New Roman" w:cs="Times New Roman"/>
          <w:sz w:val="24"/>
          <w:szCs w:val="24"/>
        </w:rPr>
      </w:pPr>
    </w:p>
    <w:p w:rsidR="006D2B72" w:rsidRPr="00321059" w:rsidRDefault="006D2B72" w:rsidP="00321059">
      <w:pPr>
        <w:spacing w:after="0"/>
        <w:jc w:val="both"/>
        <w:rPr>
          <w:rFonts w:ascii="Times New Roman" w:hAnsi="Times New Roman" w:cs="Times New Roman"/>
        </w:rPr>
      </w:pPr>
      <w:r w:rsidRPr="00321059">
        <w:rPr>
          <w:rFonts w:ascii="Times New Roman" w:hAnsi="Times New Roman" w:cs="Times New Roman"/>
        </w:rPr>
        <w:t>Penelitian ini berjudul Kedudukan Objek Jaminan Fidusia yang Dirampas Oleh Negara. Debitur diketahui telah tidak melaksanakan kewajibannya dan benda jaminan fidusia tersebut dinyatakan dirampas untuk Negara. Oleh karena itu timbul pertanyaan yaitu bagaimana Kedudukan Objek Jaminan Fidusia yang diterima oleh kreditur semetara objek jaminan fidusia tersebut di</w:t>
      </w:r>
      <w:r w:rsidR="0058055E" w:rsidRPr="00321059">
        <w:rPr>
          <w:rFonts w:ascii="Times New Roman" w:hAnsi="Times New Roman" w:cs="Times New Roman"/>
        </w:rPr>
        <w:t>rampas N</w:t>
      </w:r>
      <w:r w:rsidRPr="00321059">
        <w:rPr>
          <w:rFonts w:ascii="Times New Roman" w:hAnsi="Times New Roman" w:cs="Times New Roman"/>
        </w:rPr>
        <w:t>egara</w:t>
      </w:r>
      <w:r w:rsidR="0058055E" w:rsidRPr="00321059">
        <w:rPr>
          <w:rFonts w:ascii="Times New Roman" w:hAnsi="Times New Roman" w:cs="Times New Roman"/>
        </w:rPr>
        <w:t xml:space="preserve"> dan bagaimana hukum melindungi hak dari kreditur pemegang sertifikat jaminan fidusia sementara benda tersebut dirampas Negara.</w:t>
      </w:r>
      <w:r w:rsidRPr="00321059">
        <w:rPr>
          <w:rFonts w:ascii="Times New Roman" w:hAnsi="Times New Roman" w:cs="Times New Roman"/>
        </w:rPr>
        <w:t xml:space="preserve"> </w:t>
      </w:r>
      <w:r w:rsidR="0058055E" w:rsidRPr="00321059">
        <w:rPr>
          <w:rFonts w:ascii="Times New Roman" w:hAnsi="Times New Roman" w:cs="Times New Roman"/>
        </w:rPr>
        <w:t>Penelitian ini menggunakan metode penelitian Normatif</w:t>
      </w:r>
      <w:r w:rsidR="009173F6" w:rsidRPr="00321059">
        <w:rPr>
          <w:rFonts w:ascii="Times New Roman" w:hAnsi="Times New Roman" w:cs="Times New Roman"/>
        </w:rPr>
        <w:t>.</w:t>
      </w:r>
      <w:r w:rsidR="0058055E" w:rsidRPr="00321059">
        <w:rPr>
          <w:rFonts w:ascii="Times New Roman" w:hAnsi="Times New Roman" w:cs="Times New Roman"/>
        </w:rPr>
        <w:t xml:space="preserve"> </w:t>
      </w:r>
      <w:r w:rsidR="009173F6" w:rsidRPr="00321059">
        <w:rPr>
          <w:rFonts w:ascii="Times New Roman" w:hAnsi="Times New Roman" w:cs="Times New Roman"/>
        </w:rPr>
        <w:t>K</w:t>
      </w:r>
      <w:r w:rsidR="0058055E" w:rsidRPr="00321059">
        <w:rPr>
          <w:rFonts w:ascii="Times New Roman" w:hAnsi="Times New Roman" w:cs="Times New Roman"/>
        </w:rPr>
        <w:t>esimpulan penelitian ini, yaitu kedudukan objek jaminan fidusia yang dirampas untuk negara dapat diperjelas dengan melakukan perlawanan atas atau gugatan biasa kepada Jaksa Penuntut Umum yang menangani perkara melalui jalur perdata sehingga dapat dibuktikan kepemilikan benda tersebut dan hak milik atas suatu kebendaan adalah hak yang paling sempurna dan dapat dipertahankan kepada siapapun bahkan dalam hal ini Negara.</w:t>
      </w:r>
    </w:p>
    <w:p w:rsidR="0058055E" w:rsidRPr="00321059" w:rsidRDefault="0058055E" w:rsidP="00A83A33">
      <w:pPr>
        <w:spacing w:before="240"/>
        <w:jc w:val="both"/>
        <w:rPr>
          <w:rFonts w:ascii="Times New Roman" w:hAnsi="Times New Roman" w:cs="Times New Roman"/>
          <w:b/>
        </w:rPr>
      </w:pPr>
      <w:r w:rsidRPr="00321059">
        <w:rPr>
          <w:rFonts w:ascii="Times New Roman" w:hAnsi="Times New Roman" w:cs="Times New Roman"/>
          <w:b/>
        </w:rPr>
        <w:t xml:space="preserve">Keyword : </w:t>
      </w:r>
      <w:r w:rsidRPr="00321059">
        <w:rPr>
          <w:rFonts w:ascii="Times New Roman" w:hAnsi="Times New Roman" w:cs="Times New Roman"/>
          <w:b/>
          <w:i/>
        </w:rPr>
        <w:t>Objek</w:t>
      </w:r>
      <w:r w:rsidR="00321059">
        <w:rPr>
          <w:rFonts w:ascii="Times New Roman" w:hAnsi="Times New Roman" w:cs="Times New Roman"/>
          <w:b/>
          <w:i/>
        </w:rPr>
        <w:t>,</w:t>
      </w:r>
      <w:r w:rsidRPr="00321059">
        <w:rPr>
          <w:rFonts w:ascii="Times New Roman" w:hAnsi="Times New Roman" w:cs="Times New Roman"/>
          <w:b/>
          <w:i/>
        </w:rPr>
        <w:t xml:space="preserve"> Jaminan</w:t>
      </w:r>
      <w:r w:rsidR="00321059">
        <w:rPr>
          <w:rFonts w:ascii="Times New Roman" w:hAnsi="Times New Roman" w:cs="Times New Roman"/>
          <w:b/>
          <w:i/>
        </w:rPr>
        <w:t>,</w:t>
      </w:r>
      <w:r w:rsidRPr="00321059">
        <w:rPr>
          <w:rFonts w:ascii="Times New Roman" w:hAnsi="Times New Roman" w:cs="Times New Roman"/>
          <w:b/>
          <w:i/>
        </w:rPr>
        <w:t xml:space="preserve"> Fidusia</w:t>
      </w:r>
    </w:p>
    <w:p w:rsidR="009173F6" w:rsidRDefault="005244B6" w:rsidP="00321059">
      <w:pPr>
        <w:spacing w:before="240"/>
        <w:jc w:val="center"/>
        <w:rPr>
          <w:rFonts w:ascii="Times New Roman" w:hAnsi="Times New Roman" w:cs="Times New Roman"/>
          <w:b/>
          <w:bCs/>
          <w:sz w:val="24"/>
          <w:szCs w:val="24"/>
        </w:rPr>
      </w:pPr>
      <w:r w:rsidRPr="00321059">
        <w:rPr>
          <w:rFonts w:ascii="Times New Roman" w:hAnsi="Times New Roman" w:cs="Times New Roman"/>
          <w:b/>
          <w:bCs/>
          <w:sz w:val="24"/>
          <w:szCs w:val="24"/>
        </w:rPr>
        <w:t>Position of Fiduciary Guarantee Object that is Stoken by the State</w:t>
      </w:r>
    </w:p>
    <w:p w:rsidR="00321059" w:rsidRPr="00321059" w:rsidRDefault="00321059" w:rsidP="00321059">
      <w:pPr>
        <w:spacing w:before="240"/>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5244B6" w:rsidRPr="00321059" w:rsidRDefault="005244B6" w:rsidP="00321059">
      <w:pPr>
        <w:jc w:val="both"/>
        <w:rPr>
          <w:rFonts w:ascii="Times New Roman" w:hAnsi="Times New Roman" w:cs="Times New Roman"/>
        </w:rPr>
      </w:pPr>
      <w:r w:rsidRPr="00321059">
        <w:rPr>
          <w:rFonts w:ascii="Times New Roman" w:hAnsi="Times New Roman" w:cs="Times New Roman"/>
        </w:rPr>
        <w:t>This study is entitled The Position of Fiduciary Guarantee Object that are Deprived of By the State. The debtor is known to have not carried out his obligations and the fiduciary collateral object was declared confiscated for the state. Therefor the question arises namely how the position of the fiduciary  collateral object received by the creditor while the fiduciary coll</w:t>
      </w:r>
      <w:r w:rsidR="006C2886" w:rsidRPr="00321059">
        <w:rPr>
          <w:rFonts w:ascii="Times New Roman" w:hAnsi="Times New Roman" w:cs="Times New Roman"/>
        </w:rPr>
        <w:t>a</w:t>
      </w:r>
      <w:r w:rsidRPr="00321059">
        <w:rPr>
          <w:rFonts w:ascii="Times New Roman" w:hAnsi="Times New Roman" w:cs="Times New Roman"/>
        </w:rPr>
        <w:t>ter</w:t>
      </w:r>
      <w:r w:rsidR="006C2886" w:rsidRPr="00321059">
        <w:rPr>
          <w:rFonts w:ascii="Times New Roman" w:hAnsi="Times New Roman" w:cs="Times New Roman"/>
        </w:rPr>
        <w:t>al ob</w:t>
      </w:r>
      <w:r w:rsidRPr="00321059">
        <w:rPr>
          <w:rFonts w:ascii="Times New Roman" w:hAnsi="Times New Roman" w:cs="Times New Roman"/>
        </w:rPr>
        <w:t>ject is s</w:t>
      </w:r>
      <w:r w:rsidR="006540EF" w:rsidRPr="00321059">
        <w:rPr>
          <w:rFonts w:ascii="Times New Roman" w:hAnsi="Times New Roman" w:cs="Times New Roman"/>
        </w:rPr>
        <w:t>e</w:t>
      </w:r>
      <w:r w:rsidRPr="00321059">
        <w:rPr>
          <w:rFonts w:ascii="Times New Roman" w:hAnsi="Times New Roman" w:cs="Times New Roman"/>
        </w:rPr>
        <w:t>ized by the State and how the law protects</w:t>
      </w:r>
      <w:r w:rsidR="006540EF" w:rsidRPr="00321059">
        <w:rPr>
          <w:rFonts w:ascii="Times New Roman" w:hAnsi="Times New Roman" w:cs="Times New Roman"/>
        </w:rPr>
        <w:t xml:space="preserve"> the right of the creditor  holdin the fiduciary guarantee certificate while the seized object is seized by the state. This study uses the normatif reseacrh method. The conclusion of this research  is that th position of the fiduciary collateral object seized for the state can be clarified by taking a fight against or the usual lawsuit against the Public Prosecutor who handles the case through civil law so that it can be proven ownership of the object and the ownership of a material is the most perfect and can be defended to anyone even in this case the state.</w:t>
      </w:r>
    </w:p>
    <w:p w:rsidR="009C5097" w:rsidRDefault="006540EF" w:rsidP="009C5097">
      <w:pPr>
        <w:rPr>
          <w:rFonts w:ascii="Times New Roman" w:hAnsi="Times New Roman" w:cs="Times New Roman"/>
          <w:b/>
          <w:i/>
          <w:sz w:val="24"/>
          <w:szCs w:val="24"/>
        </w:rPr>
        <w:sectPr w:rsidR="009C5097" w:rsidSect="009C5097">
          <w:headerReference w:type="default" r:id="rId11"/>
          <w:pgSz w:w="11906" w:h="16838"/>
          <w:pgMar w:top="2268" w:right="1701" w:bottom="1701" w:left="2268" w:header="709" w:footer="709" w:gutter="0"/>
          <w:pgNumType w:fmt="lowerRoman" w:chapStyle="2"/>
          <w:cols w:space="708"/>
          <w:docGrid w:linePitch="360"/>
        </w:sectPr>
      </w:pPr>
      <w:r w:rsidRPr="00321059">
        <w:rPr>
          <w:rFonts w:ascii="Times New Roman" w:hAnsi="Times New Roman" w:cs="Times New Roman"/>
          <w:b/>
        </w:rPr>
        <w:t xml:space="preserve">Keyword: </w:t>
      </w:r>
      <w:r w:rsidRPr="00321059">
        <w:rPr>
          <w:rFonts w:ascii="Times New Roman" w:hAnsi="Times New Roman" w:cs="Times New Roman"/>
          <w:b/>
          <w:i/>
        </w:rPr>
        <w:t>Fiduciary</w:t>
      </w:r>
      <w:r w:rsidR="00321059">
        <w:rPr>
          <w:rFonts w:ascii="Times New Roman" w:hAnsi="Times New Roman" w:cs="Times New Roman"/>
          <w:b/>
          <w:i/>
        </w:rPr>
        <w:t>,</w:t>
      </w:r>
      <w:r w:rsidRPr="00321059">
        <w:rPr>
          <w:rFonts w:ascii="Times New Roman" w:hAnsi="Times New Roman" w:cs="Times New Roman"/>
          <w:b/>
          <w:i/>
        </w:rPr>
        <w:t xml:space="preserve"> Security</w:t>
      </w:r>
      <w:r w:rsidR="00321059">
        <w:rPr>
          <w:rFonts w:ascii="Times New Roman" w:hAnsi="Times New Roman" w:cs="Times New Roman"/>
          <w:b/>
          <w:i/>
        </w:rPr>
        <w:t>,</w:t>
      </w:r>
      <w:r w:rsidRPr="00321059">
        <w:rPr>
          <w:rFonts w:ascii="Times New Roman" w:hAnsi="Times New Roman" w:cs="Times New Roman"/>
          <w:b/>
          <w:i/>
        </w:rPr>
        <w:t xml:space="preserve"> Object</w:t>
      </w:r>
    </w:p>
    <w:p w:rsidR="005244B6" w:rsidRPr="00A83A33" w:rsidRDefault="00A83A33" w:rsidP="009C5097">
      <w:pPr>
        <w:pStyle w:val="ListParagraph"/>
        <w:numPr>
          <w:ilvl w:val="0"/>
          <w:numId w:val="5"/>
        </w:numPr>
        <w:jc w:val="center"/>
      </w:pPr>
      <w:r w:rsidRPr="009C5097">
        <w:rPr>
          <w:rFonts w:ascii="Times New Roman" w:hAnsi="Times New Roman" w:cs="Times New Roman"/>
          <w:b/>
          <w:sz w:val="24"/>
          <w:szCs w:val="24"/>
        </w:rPr>
        <w:lastRenderedPageBreak/>
        <w:t>P</w:t>
      </w:r>
      <w:r w:rsidR="006C2886" w:rsidRPr="009C5097">
        <w:rPr>
          <w:rFonts w:ascii="Times New Roman" w:hAnsi="Times New Roman" w:cs="Times New Roman"/>
          <w:b/>
          <w:sz w:val="24"/>
          <w:szCs w:val="24"/>
        </w:rPr>
        <w:t>ENDAHULUAN</w:t>
      </w:r>
    </w:p>
    <w:p w:rsidR="006C2886" w:rsidRDefault="006C2886" w:rsidP="006C2886">
      <w:pPr>
        <w:pStyle w:val="ListParagraph"/>
        <w:widowControl w:val="0"/>
        <w:autoSpaceDE w:val="0"/>
        <w:autoSpaceDN w:val="0"/>
        <w:spacing w:before="4" w:after="0" w:line="480" w:lineRule="auto"/>
        <w:ind w:left="1080"/>
        <w:jc w:val="both"/>
        <w:rPr>
          <w:rFonts w:asciiTheme="majorBidi" w:hAnsiTheme="majorBidi" w:cstheme="majorBidi"/>
          <w:sz w:val="24"/>
          <w:szCs w:val="24"/>
        </w:rPr>
      </w:pPr>
    </w:p>
    <w:p w:rsidR="006C2886" w:rsidRPr="006C2886" w:rsidRDefault="006C2886" w:rsidP="006C2886">
      <w:pPr>
        <w:pStyle w:val="ListParagraph"/>
        <w:widowControl w:val="0"/>
        <w:autoSpaceDE w:val="0"/>
        <w:autoSpaceDN w:val="0"/>
        <w:spacing w:before="4" w:after="0" w:line="480" w:lineRule="auto"/>
        <w:ind w:left="0" w:firstLine="720"/>
        <w:jc w:val="both"/>
        <w:rPr>
          <w:rFonts w:asciiTheme="majorBidi" w:hAnsiTheme="majorBidi" w:cstheme="majorBidi"/>
          <w:sz w:val="24"/>
          <w:szCs w:val="24"/>
        </w:rPr>
      </w:pPr>
      <w:r w:rsidRPr="006C2886">
        <w:rPr>
          <w:rFonts w:asciiTheme="majorBidi" w:hAnsiTheme="majorBidi" w:cstheme="majorBidi"/>
          <w:sz w:val="24"/>
          <w:szCs w:val="24"/>
        </w:rPr>
        <w:t>Benda yang menjadi objek jaminan fidusia yang diberikan oleh debitor pada kasus tersebut juga menjadi alat bukti dalam kasus pidana narkotika sebagai salah satu alat untuk melakukan perbuatan mengangkat atau memindahkan narkotika seberat kurang lebih 2 kilogram dari Medan menuju Palembang yang dilakukan oleh terpidana Andirfan yang menggunakan mobil dalam perjanjian pembiayaan dan juga dalam status sebagai jaminan fidusia pada perjanjian antara PT. OTO Multiartha  dengan Noviansyah pada saat kasus tersebut terjadi. Hal tersebut berarti status Jaminan Fidusia pada barang berupa satu unit mobil masih melekat dan kreditor masih memiliki hak untuk mengeksekusi benda jaminan fidusia apabila debitor wanprestasi secara langsung tanpa melalui pengadilan.</w:t>
      </w:r>
      <w:r w:rsidRPr="00E87E2E">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w:t>
      </w:r>
      <w:r w:rsidRPr="006C2886">
        <w:rPr>
          <w:rFonts w:asciiTheme="majorBidi" w:hAnsiTheme="majorBidi" w:cstheme="majorBidi"/>
          <w:sz w:val="24"/>
          <w:szCs w:val="24"/>
        </w:rPr>
        <w:t>Oleh karena jaminan yang diberikan kepadanya dirampas oleh negara pada putusan Pengadilan Negeri Jambi dalam perkara Nomor 637/Pid.B/2012/PN.JBI maka PT. OTO Multiartha melakukan upaya hukum yakni perlawanan terhadap Kejaksaan Negeri Jambi melalui perkara perdata. Pada tingkat Pengadilan Negeri, perlawanan yang dilakukan oleh PT. OTO Multiartha dimenangkan oleh pelawan dengan mengabulkan perlawanan pelawan untuk sebagian.</w:t>
      </w:r>
      <w:r>
        <w:rPr>
          <w:rFonts w:asciiTheme="majorBidi" w:hAnsiTheme="majorBidi" w:cstheme="majorBidi"/>
          <w:sz w:val="24"/>
          <w:szCs w:val="24"/>
        </w:rPr>
        <w:t xml:space="preserve"> </w:t>
      </w:r>
      <w:r w:rsidRPr="006C2886">
        <w:rPr>
          <w:rFonts w:asciiTheme="majorBidi" w:hAnsiTheme="majorBidi" w:cstheme="majorBidi"/>
          <w:sz w:val="24"/>
          <w:szCs w:val="24"/>
        </w:rPr>
        <w:t>Tidak berhenti sampai disitu, Kejaksaan selaku terlawan melakukan banding atas putusan tersebut. Pada putusan banding dengan perkara NOMOR : 09/PDT/2014/PT.JBI,</w:t>
      </w:r>
      <w:r w:rsidRPr="00E87E2E">
        <w:rPr>
          <w:rStyle w:val="FootnoteReference"/>
          <w:rFonts w:asciiTheme="majorBidi" w:hAnsiTheme="majorBidi" w:cstheme="majorBidi"/>
          <w:sz w:val="24"/>
          <w:szCs w:val="24"/>
        </w:rPr>
        <w:footnoteReference w:id="2"/>
      </w:r>
      <w:r w:rsidRPr="006C2886">
        <w:rPr>
          <w:rFonts w:asciiTheme="majorBidi" w:hAnsiTheme="majorBidi" w:cstheme="majorBidi"/>
          <w:sz w:val="24"/>
          <w:szCs w:val="24"/>
        </w:rPr>
        <w:t xml:space="preserve"> permohonan banding diterima akan tetapi Pengadilan Tinggi menguatkan putusan Pengadilan </w:t>
      </w:r>
      <w:r w:rsidRPr="006C2886">
        <w:rPr>
          <w:rFonts w:asciiTheme="majorBidi" w:hAnsiTheme="majorBidi" w:cstheme="majorBidi"/>
          <w:sz w:val="24"/>
          <w:szCs w:val="24"/>
        </w:rPr>
        <w:lastRenderedPageBreak/>
        <w:t>Negeri dengan pengecualian pada diktum Nomor 3 (tiga) pada poin di atas dengan pertimbangan bahwa putusan pada perkara perdata tidak dapat membatalkan putusan pada perkara pidana. Dengan kata lain pihak Pelawan atau terbanding pada tahap ini masih dimenangkan oleh pengadilan hingga putusan pada tingkat Kasasi yang menolak permohonan Kasasi dari Kejaksaan atau Terlawan. Sederhananya pengadilan pada perkara Perdata tetap memerintahkan Kejaksaan untuk mengembalikan 1 (satu) unit mobil yang dibebankan dengan jaminan fidusia kepada PT. OTO Multiartha yang juga telah dirampas oleh negara dalam putusan pada perkara Pidana yang telah berkekuatan hukum</w:t>
      </w:r>
      <w:r w:rsidR="0096280D">
        <w:rPr>
          <w:rFonts w:asciiTheme="majorBidi" w:hAnsiTheme="majorBidi" w:cstheme="majorBidi"/>
          <w:sz w:val="24"/>
          <w:szCs w:val="24"/>
        </w:rPr>
        <w:t xml:space="preserve"> </w:t>
      </w:r>
      <w:r w:rsidRPr="006C2886">
        <w:rPr>
          <w:rFonts w:asciiTheme="majorBidi" w:hAnsiTheme="majorBidi" w:cstheme="majorBidi"/>
          <w:sz w:val="24"/>
          <w:szCs w:val="24"/>
        </w:rPr>
        <w:t>tetap.</w:t>
      </w:r>
      <w:r w:rsidRPr="00E87E2E">
        <w:rPr>
          <w:rStyle w:val="FootnoteReference"/>
          <w:rFonts w:asciiTheme="majorBidi" w:hAnsiTheme="majorBidi" w:cstheme="majorBidi"/>
          <w:sz w:val="24"/>
          <w:szCs w:val="24"/>
        </w:rPr>
        <w:footnoteReference w:id="3"/>
      </w:r>
    </w:p>
    <w:p w:rsidR="0096280D" w:rsidRDefault="0096280D" w:rsidP="0096280D">
      <w:pPr>
        <w:spacing w:line="480" w:lineRule="auto"/>
        <w:ind w:firstLine="720"/>
        <w:jc w:val="both"/>
        <w:rPr>
          <w:rFonts w:ascii="Times New Roman" w:hAnsi="Times New Roman" w:cs="Times New Roman"/>
          <w:sz w:val="24"/>
          <w:szCs w:val="24"/>
        </w:rPr>
      </w:pPr>
      <w:r w:rsidRPr="0096280D">
        <w:rPr>
          <w:rFonts w:ascii="Times New Roman" w:hAnsi="Times New Roman" w:cs="Times New Roman"/>
          <w:sz w:val="24"/>
          <w:szCs w:val="24"/>
          <w:lang w:val="en-US"/>
        </w:rPr>
        <w:t>Berdasarkan</w:t>
      </w:r>
      <w:r w:rsidRPr="0096280D">
        <w:rPr>
          <w:rFonts w:ascii="Times New Roman" w:hAnsi="Times New Roman" w:cs="Times New Roman"/>
          <w:sz w:val="24"/>
          <w:szCs w:val="24"/>
        </w:rPr>
        <w:t xml:space="preserve"> </w:t>
      </w:r>
      <w:r w:rsidRPr="0096280D">
        <w:rPr>
          <w:rFonts w:ascii="Times New Roman" w:hAnsi="Times New Roman" w:cs="Times New Roman"/>
          <w:sz w:val="24"/>
          <w:szCs w:val="24"/>
          <w:lang w:val="en-US"/>
        </w:rPr>
        <w:t xml:space="preserve">hal yang dikemukakan di atas, </w:t>
      </w:r>
      <w:r>
        <w:rPr>
          <w:rFonts w:ascii="Times New Roman" w:hAnsi="Times New Roman" w:cs="Times New Roman"/>
          <w:sz w:val="24"/>
          <w:szCs w:val="24"/>
        </w:rPr>
        <w:t>maka ada beberapa hal yang menjadi pokok permasalahan dalam penelitian ini, yakni</w:t>
      </w:r>
      <w:r w:rsidRPr="0096280D">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96280D">
        <w:rPr>
          <w:rFonts w:ascii="Times New Roman" w:hAnsi="Times New Roman" w:cs="Times New Roman"/>
          <w:sz w:val="24"/>
        </w:rPr>
        <w:t xml:space="preserve">Bagaimana </w:t>
      </w:r>
      <w:r w:rsidRPr="0096280D">
        <w:rPr>
          <w:rFonts w:ascii="Times New Roman" w:hAnsi="Times New Roman" w:cs="Times New Roman"/>
          <w:sz w:val="24"/>
          <w:lang w:val="en-US"/>
        </w:rPr>
        <w:t>kedudukan</w:t>
      </w:r>
      <w:r w:rsidRPr="0096280D">
        <w:rPr>
          <w:rFonts w:ascii="Times New Roman" w:hAnsi="Times New Roman" w:cs="Times New Roman"/>
          <w:sz w:val="24"/>
        </w:rPr>
        <w:t xml:space="preserve"> </w:t>
      </w:r>
      <w:r w:rsidRPr="0096280D">
        <w:rPr>
          <w:rFonts w:ascii="Times New Roman" w:hAnsi="Times New Roman" w:cs="Times New Roman"/>
          <w:sz w:val="24"/>
          <w:lang w:val="en-US"/>
        </w:rPr>
        <w:t>obyek</w:t>
      </w:r>
      <w:r w:rsidRPr="0096280D">
        <w:rPr>
          <w:rFonts w:ascii="Times New Roman" w:hAnsi="Times New Roman" w:cs="Times New Roman"/>
          <w:sz w:val="24"/>
        </w:rPr>
        <w:t xml:space="preserve"> jaminan fidusia </w:t>
      </w:r>
      <w:r w:rsidRPr="0096280D">
        <w:rPr>
          <w:rFonts w:ascii="Times New Roman" w:hAnsi="Times New Roman" w:cs="Times New Roman"/>
          <w:sz w:val="24"/>
          <w:lang w:val="en-US"/>
        </w:rPr>
        <w:t xml:space="preserve">yang </w:t>
      </w:r>
      <w:r>
        <w:rPr>
          <w:rFonts w:ascii="Times New Roman" w:hAnsi="Times New Roman" w:cs="Times New Roman"/>
          <w:sz w:val="24"/>
        </w:rPr>
        <w:t>dirampas oleh Negara.</w:t>
      </w:r>
      <w:r>
        <w:rPr>
          <w:rFonts w:ascii="Times New Roman" w:hAnsi="Times New Roman" w:cs="Times New Roman"/>
          <w:sz w:val="24"/>
          <w:szCs w:val="24"/>
        </w:rPr>
        <w:t xml:space="preserve"> 2) </w:t>
      </w:r>
      <w:r w:rsidRPr="0096280D">
        <w:rPr>
          <w:rFonts w:ascii="Times New Roman" w:hAnsi="Times New Roman" w:cs="Times New Roman"/>
          <w:sz w:val="24"/>
        </w:rPr>
        <w:t xml:space="preserve">Bagaimana </w:t>
      </w:r>
      <w:r w:rsidRPr="0096280D">
        <w:rPr>
          <w:rFonts w:ascii="Times New Roman" w:hAnsi="Times New Roman" w:cs="Times New Roman"/>
          <w:sz w:val="24"/>
          <w:lang w:val="en-US"/>
        </w:rPr>
        <w:t>perlindungan</w:t>
      </w:r>
      <w:r w:rsidRPr="0096280D">
        <w:rPr>
          <w:rFonts w:ascii="Times New Roman" w:hAnsi="Times New Roman" w:cs="Times New Roman"/>
          <w:sz w:val="24"/>
        </w:rPr>
        <w:t xml:space="preserve"> </w:t>
      </w:r>
      <w:r w:rsidRPr="0096280D">
        <w:rPr>
          <w:rFonts w:ascii="Times New Roman" w:hAnsi="Times New Roman" w:cs="Times New Roman"/>
          <w:sz w:val="24"/>
          <w:lang w:val="en-US"/>
        </w:rPr>
        <w:t>hukum</w:t>
      </w:r>
      <w:r w:rsidRPr="0096280D">
        <w:rPr>
          <w:rFonts w:ascii="Times New Roman" w:hAnsi="Times New Roman" w:cs="Times New Roman"/>
          <w:sz w:val="24"/>
        </w:rPr>
        <w:t xml:space="preserve"> kreditor pemegang Sertifikat Jaminan Fidusia atas objek ja</w:t>
      </w:r>
      <w:r>
        <w:rPr>
          <w:rFonts w:ascii="Times New Roman" w:hAnsi="Times New Roman" w:cs="Times New Roman"/>
          <w:sz w:val="24"/>
        </w:rPr>
        <w:t xml:space="preserve">minan yang dirampas oleh Negara. Penelitian ini bertujuan untuk </w:t>
      </w:r>
      <w:r>
        <w:rPr>
          <w:rFonts w:ascii="Times New Roman" w:hAnsi="Times New Roman" w:cs="Times New Roman"/>
          <w:sz w:val="24"/>
          <w:szCs w:val="24"/>
        </w:rPr>
        <w:t>m</w:t>
      </w:r>
      <w:r w:rsidRPr="00CD2283">
        <w:rPr>
          <w:rFonts w:ascii="Times New Roman" w:hAnsi="Times New Roman" w:cs="Times New Roman"/>
          <w:sz w:val="24"/>
          <w:szCs w:val="24"/>
        </w:rPr>
        <w:t xml:space="preserve">engetahui </w:t>
      </w:r>
      <w:r>
        <w:rPr>
          <w:rFonts w:ascii="Times New Roman" w:hAnsi="Times New Roman" w:cs="Times New Roman"/>
          <w:sz w:val="24"/>
          <w:szCs w:val="24"/>
          <w:lang w:val="en-US"/>
        </w:rPr>
        <w:t>kedudukan</w:t>
      </w:r>
      <w:r>
        <w:rPr>
          <w:rFonts w:ascii="Times New Roman" w:hAnsi="Times New Roman" w:cs="Times New Roman"/>
          <w:sz w:val="24"/>
          <w:szCs w:val="24"/>
        </w:rPr>
        <w:t xml:space="preserve"> </w:t>
      </w:r>
      <w:r w:rsidRPr="00CD2283">
        <w:rPr>
          <w:rFonts w:ascii="Times New Roman" w:hAnsi="Times New Roman" w:cs="Times New Roman"/>
          <w:sz w:val="24"/>
          <w:szCs w:val="24"/>
        </w:rPr>
        <w:t xml:space="preserve">objek jaminan </w:t>
      </w:r>
      <w:r>
        <w:rPr>
          <w:rFonts w:ascii="Times New Roman" w:hAnsi="Times New Roman" w:cs="Times New Roman"/>
          <w:sz w:val="24"/>
          <w:szCs w:val="24"/>
          <w:lang w:val="en-US"/>
        </w:rPr>
        <w:t>fidusia</w:t>
      </w:r>
      <w:r>
        <w:rPr>
          <w:rFonts w:ascii="Times New Roman" w:hAnsi="Times New Roman" w:cs="Times New Roman"/>
          <w:sz w:val="24"/>
          <w:szCs w:val="24"/>
        </w:rPr>
        <w:t xml:space="preserve"> yang dirampas oleh Negara dan untuk mengetahui perlindungn hukum bagi kreditur pemegang sertifikat </w:t>
      </w:r>
      <w:r w:rsidR="00D71609">
        <w:rPr>
          <w:rFonts w:ascii="Times New Roman" w:hAnsi="Times New Roman" w:cs="Times New Roman"/>
          <w:sz w:val="24"/>
          <w:szCs w:val="24"/>
        </w:rPr>
        <w:t>jaminan fidusia atas objek jaminan yang dirampas oleh Negara. Manfaat dalam penelitian ini yaitu Secara Teoritis penelitian ini diharapkan dapat memberikan masukan bagi ilmu pengetahuan. Secara praktis dapat menjadi masukan atau penjelasan bagi masyarakat mengenai objek jaminan fidusia yang dirampas oleh Negara.</w:t>
      </w:r>
    </w:p>
    <w:p w:rsidR="00C31B98" w:rsidRDefault="00D71609" w:rsidP="00C31B98">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Agar peneltian ini tidak meluas maka, penelitian ini difokuskan membahas tentang kedudukan objek jaminan fidusia yang dirampas oleh Negara. Jenis penelitian adalah penelitian normatif dengan menggunakan pendekatan perundang-undangan dan konseptual. Sumber bahan hukum yang digunakan yaitu studi kepustakaan, jenis bahan hukum uang digunakan yaitu bahan hukum primer dan sekunder. Teknik pengumpulan bahan hukum dilakukan dengan Studi Dokumen.</w:t>
      </w:r>
    </w:p>
    <w:p w:rsidR="00C31B98" w:rsidRDefault="00C31B9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D7331" w:rsidRPr="009C5097" w:rsidRDefault="003D7331" w:rsidP="009C5097">
      <w:pPr>
        <w:pStyle w:val="ListParagraph"/>
        <w:numPr>
          <w:ilvl w:val="0"/>
          <w:numId w:val="5"/>
        </w:numPr>
        <w:spacing w:line="480" w:lineRule="auto"/>
        <w:jc w:val="center"/>
        <w:rPr>
          <w:rFonts w:ascii="Times New Roman" w:hAnsi="Times New Roman" w:cs="Times New Roman"/>
          <w:b/>
          <w:sz w:val="24"/>
          <w:szCs w:val="24"/>
        </w:rPr>
      </w:pPr>
      <w:r w:rsidRPr="009C5097">
        <w:rPr>
          <w:rFonts w:ascii="Times New Roman" w:hAnsi="Times New Roman" w:cs="Times New Roman"/>
          <w:b/>
          <w:sz w:val="24"/>
          <w:szCs w:val="24"/>
        </w:rPr>
        <w:lastRenderedPageBreak/>
        <w:t>PEMBAHASAN</w:t>
      </w:r>
    </w:p>
    <w:p w:rsidR="00A83A33" w:rsidRPr="00303181" w:rsidRDefault="00A83A33" w:rsidP="00303181">
      <w:pPr>
        <w:spacing w:after="0" w:line="480" w:lineRule="auto"/>
        <w:rPr>
          <w:rFonts w:ascii="Times New Roman" w:hAnsi="Times New Roman" w:cs="Times New Roman"/>
          <w:b/>
          <w:sz w:val="24"/>
          <w:szCs w:val="24"/>
        </w:rPr>
      </w:pPr>
      <w:r w:rsidRPr="00303181">
        <w:rPr>
          <w:rFonts w:ascii="Times New Roman" w:hAnsi="Times New Roman" w:cs="Times New Roman"/>
          <w:b/>
          <w:sz w:val="24"/>
          <w:szCs w:val="24"/>
        </w:rPr>
        <w:t>Kedudukan Objek Jaminan Fidusia yang Dirampas Oleh Negara</w:t>
      </w:r>
    </w:p>
    <w:p w:rsidR="00A83A33" w:rsidRPr="00303181" w:rsidRDefault="00A83A33" w:rsidP="00303181">
      <w:pPr>
        <w:spacing w:after="0" w:line="480" w:lineRule="auto"/>
        <w:rPr>
          <w:rFonts w:ascii="Times New Roman" w:hAnsi="Times New Roman" w:cs="Times New Roman"/>
          <w:b/>
          <w:sz w:val="24"/>
          <w:szCs w:val="24"/>
        </w:rPr>
      </w:pPr>
      <w:r w:rsidRPr="00303181">
        <w:rPr>
          <w:rFonts w:ascii="Times New Roman" w:hAnsi="Times New Roman" w:cs="Times New Roman"/>
          <w:b/>
          <w:sz w:val="24"/>
          <w:szCs w:val="24"/>
        </w:rPr>
        <w:t>(Studi Kasus atas Putusan Mahkamah Agung No. 1270 K/PDT/2015)</w:t>
      </w:r>
    </w:p>
    <w:p w:rsidR="00B77D34" w:rsidRPr="00B77D34" w:rsidRDefault="00A83A33" w:rsidP="00B77D34">
      <w:pPr>
        <w:pStyle w:val="BodyText"/>
        <w:spacing w:before="240" w:line="480" w:lineRule="auto"/>
        <w:ind w:firstLine="709"/>
        <w:jc w:val="both"/>
        <w:rPr>
          <w:lang w:val="id-ID"/>
        </w:rPr>
      </w:pPr>
      <w:r w:rsidRPr="00B77D34">
        <w:rPr>
          <w:b/>
        </w:rPr>
        <w:tab/>
      </w:r>
      <w:r w:rsidR="00B77D34" w:rsidRPr="00B77D34">
        <w:rPr>
          <w:lang w:val="id-ID"/>
        </w:rPr>
        <w:t>Pengalihan hak kepemilikan dalam jaminan fidusia dimaksud semata-mata sebagai jaminan bagi pelunasan utang, bukan untuk seterusnya dimiliki oleh Penerima Fidusia. Tidak dapat dilanjutkannya perjanjian ikutan yaitu fidusia, karena objek perjanjian telah dirampas untuk negara, maka perjanjian pokok yang sebenernya adalah perjanjian pembiayaan konsumen. Hal ini dibuktikan dengan penggunaan istilah debitur dan kreditur, menjadi berakhir. Apabila perjanjian pokok belum berakhir maka kreditur masih berhak mendapatkan pembayaran dari debitur. Oleh karena itu harus dibuktikan secara hukum antara pihak kreditur dan pihak debitur.</w:t>
      </w:r>
    </w:p>
    <w:p w:rsidR="00B77D34" w:rsidRPr="00B77D34" w:rsidRDefault="00B77D34" w:rsidP="00B77D34">
      <w:pPr>
        <w:pStyle w:val="BodyText"/>
        <w:spacing w:line="480" w:lineRule="auto"/>
        <w:ind w:firstLine="709"/>
        <w:jc w:val="both"/>
        <w:rPr>
          <w:lang w:val="id-ID"/>
        </w:rPr>
      </w:pPr>
      <w:r w:rsidRPr="00B77D34">
        <w:rPr>
          <w:lang w:val="id-ID"/>
        </w:rPr>
        <w:t>Dalam kasus yang penulis tinjau, p</w:t>
      </w:r>
      <w:r w:rsidRPr="00B77D34">
        <w:t>erjanjian pokok dengan tambahan perjanjian jaminan fidusia tersebut disepakati berjalan dari bulan Maret Tahun 2011 hingga bulan</w:t>
      </w:r>
      <w:r w:rsidRPr="00B77D34">
        <w:rPr>
          <w:lang w:val="id-ID"/>
        </w:rPr>
        <w:t xml:space="preserve"> </w:t>
      </w:r>
      <w:r w:rsidRPr="00B77D34">
        <w:t>Februari</w:t>
      </w:r>
      <w:r w:rsidRPr="00B77D34">
        <w:rPr>
          <w:lang w:val="id-ID"/>
        </w:rPr>
        <w:t xml:space="preserve"> </w:t>
      </w:r>
      <w:r w:rsidRPr="00B77D34">
        <w:t>Tahun 2014. Hingga sampai pada angsuran ke 21 tepatnya pada bulan November Tahun 2012, Noviansyah selaku debitor sudah tidak membayar angsuran seperti yang diperjanjikan para pihak tersebut sebelumnya.</w:t>
      </w:r>
      <w:r w:rsidRPr="00B77D34">
        <w:rPr>
          <w:rStyle w:val="FootnoteReference"/>
        </w:rPr>
        <w:footnoteReference w:id="4"/>
      </w:r>
      <w:r w:rsidRPr="00B77D34">
        <w:t xml:space="preserve"> Dengan demikian debitor telah melalaikan kewajibannya dalam perjanjian pokok atau wanprestasi.</w:t>
      </w:r>
    </w:p>
    <w:p w:rsidR="00B77D34" w:rsidRPr="00B77D34" w:rsidRDefault="00B77D34" w:rsidP="00B77D34">
      <w:pPr>
        <w:pStyle w:val="BodyText"/>
        <w:spacing w:line="480" w:lineRule="auto"/>
        <w:ind w:firstLine="709"/>
        <w:jc w:val="both"/>
        <w:rPr>
          <w:lang w:val="id-ID"/>
        </w:rPr>
      </w:pPr>
      <w:r w:rsidRPr="00B77D34">
        <w:t xml:space="preserve">Kreditor selanjutnya mengetahui bahwa unit mobil yang menjadi benda objek jaminan fidusia menjadi barang bukti dalam kasus pidana narkotika dengan </w:t>
      </w:r>
      <w:r w:rsidRPr="00B77D34">
        <w:lastRenderedPageBreak/>
        <w:t>terdakwa yakni Andirfan alias Jalal bin M. Jalil. Perkara tersebut saat diketahui telah mendapatkan putusan pada Pengadilan Negeri Jambi dengan nomor putusan 637/Pid.B/2012/PN.JBI serta telah berkekuatan hukum tetap. Hal tersebut tentu saja menyulitkan bagi pihak kreditor untuk melakukan eksekusi terhadap benda objek jaminan karena benda tersebut dinyatakan dirampas untuk negara.</w:t>
      </w:r>
      <w:r w:rsidRPr="00B77D34">
        <w:rPr>
          <w:rStyle w:val="FootnoteReference"/>
        </w:rPr>
        <w:footnoteReference w:id="5"/>
      </w:r>
    </w:p>
    <w:p w:rsidR="00A83A33" w:rsidRPr="00A83A33" w:rsidRDefault="00B77D34" w:rsidP="00B77D34">
      <w:pPr>
        <w:spacing w:after="0" w:line="480" w:lineRule="auto"/>
        <w:ind w:firstLine="709"/>
        <w:jc w:val="both"/>
        <w:rPr>
          <w:rFonts w:ascii="Times New Roman" w:hAnsi="Times New Roman" w:cs="Times New Roman"/>
          <w:sz w:val="24"/>
          <w:szCs w:val="24"/>
        </w:rPr>
      </w:pPr>
      <w:r w:rsidRPr="00B77D34">
        <w:rPr>
          <w:rFonts w:ascii="Times New Roman" w:hAnsi="Times New Roman" w:cs="Times New Roman"/>
          <w:sz w:val="24"/>
          <w:szCs w:val="24"/>
        </w:rPr>
        <w:t>Salah satu kelalaian kreditor ialah tidak mendaftarkan objek Jaminan Fidusia dengan segera ke Kantor Pendaftaran Fidusia. Kelalaian lainnya yaitu dokumen-dokumen objek perjanjian pokok yaitu perjanjian pembiayaan tersebut, tidak dibenahi sehingga pembuktian terkait kepemilikan atas 1 (unit) mobil yang menjadi objek Jaminan Fidusia tidak jelas.</w:t>
      </w:r>
    </w:p>
    <w:p w:rsidR="00B77D34" w:rsidRDefault="00B77D34" w:rsidP="00B77D34">
      <w:pPr>
        <w:spacing w:after="0" w:line="480" w:lineRule="auto"/>
        <w:ind w:firstLine="709"/>
        <w:jc w:val="both"/>
        <w:rPr>
          <w:rFonts w:ascii="Times New Roman" w:hAnsi="Times New Roman" w:cs="Times New Roman"/>
          <w:sz w:val="24"/>
          <w:szCs w:val="24"/>
        </w:rPr>
      </w:pPr>
      <w:r w:rsidRPr="00AD73D7">
        <w:rPr>
          <w:rFonts w:ascii="Times New Roman" w:hAnsi="Times New Roman" w:cs="Times New Roman"/>
          <w:sz w:val="24"/>
          <w:szCs w:val="24"/>
        </w:rPr>
        <w:t>Undang-undang Jaminan Fidusia tidak mengatur mengenai</w:t>
      </w:r>
      <w:r w:rsidRPr="00AD73D7">
        <w:rPr>
          <w:rFonts w:ascii="Times New Roman" w:hAnsi="Times New Roman" w:cs="Times New Roman"/>
          <w:spacing w:val="58"/>
          <w:sz w:val="24"/>
          <w:szCs w:val="24"/>
        </w:rPr>
        <w:t xml:space="preserve"> </w:t>
      </w:r>
      <w:r w:rsidRPr="00AD73D7">
        <w:rPr>
          <w:rFonts w:ascii="Times New Roman" w:hAnsi="Times New Roman" w:cs="Times New Roman"/>
          <w:sz w:val="24"/>
          <w:szCs w:val="24"/>
        </w:rPr>
        <w:t xml:space="preserve">apabila objek jaminan fidusia yang dirampas oleh negara. Perampasan tersebut dikarenakan diantaranya yaitu adanya ketidak jelasan (gharar) dalam dokumen tentang kepemilikan benda yang menjadi Jaminan Fidusia. Oleh karena itu pihak kreditor penerima fidusia mengambil jalur dengan melakukan perlawanan kepada Jaksa Penuntut Umum sebagai terlawan. Perlawanan disini dapat dikatakan sebuah terobosan hukum mengingat bahwa, perlawanan sejatinya dihadapkan pada suatu putusan berkekuatan hukum tetap dalam perkara perdata. Upaya hukum luar biasa dalam hal ini </w:t>
      </w:r>
      <w:r w:rsidRPr="00AD73D7">
        <w:rPr>
          <w:rFonts w:ascii="Times New Roman" w:hAnsi="Times New Roman" w:cs="Times New Roman"/>
          <w:i/>
          <w:sz w:val="24"/>
          <w:szCs w:val="24"/>
        </w:rPr>
        <w:t xml:space="preserve">derden verzet </w:t>
      </w:r>
      <w:r w:rsidRPr="00AD73D7">
        <w:rPr>
          <w:rFonts w:ascii="Times New Roman" w:hAnsi="Times New Roman" w:cs="Times New Roman"/>
          <w:sz w:val="24"/>
          <w:szCs w:val="24"/>
        </w:rPr>
        <w:t>atau perlawanan dapat pula mempengaruhi suatu putusan yang telah berkekuatan hukum tetap, dalam arti dapat merubah atau membuyarkannya.</w:t>
      </w:r>
      <w:r>
        <w:rPr>
          <w:rStyle w:val="FootnoteReference"/>
          <w:rFonts w:ascii="Times New Roman" w:hAnsi="Times New Roman" w:cs="Times New Roman"/>
          <w:sz w:val="24"/>
          <w:szCs w:val="24"/>
        </w:rPr>
        <w:footnoteReference w:id="6"/>
      </w:r>
    </w:p>
    <w:p w:rsidR="00B77D34" w:rsidRPr="00B77D34" w:rsidRDefault="00B77D34" w:rsidP="00B77D34">
      <w:pPr>
        <w:spacing w:after="0" w:line="480" w:lineRule="auto"/>
        <w:ind w:firstLine="709"/>
        <w:jc w:val="both"/>
        <w:rPr>
          <w:rFonts w:ascii="Times New Roman" w:hAnsi="Times New Roman" w:cs="Times New Roman"/>
          <w:sz w:val="24"/>
          <w:szCs w:val="24"/>
          <w:vertAlign w:val="superscript"/>
        </w:rPr>
      </w:pPr>
      <w:r w:rsidRPr="00B77D34">
        <w:rPr>
          <w:rFonts w:ascii="Times New Roman" w:hAnsi="Times New Roman" w:cs="Times New Roman"/>
          <w:sz w:val="24"/>
          <w:szCs w:val="24"/>
        </w:rPr>
        <w:lastRenderedPageBreak/>
        <w:t xml:space="preserve">Yahya Harahap menyatakan bahwa </w:t>
      </w:r>
      <w:r w:rsidRPr="00B77D34">
        <w:rPr>
          <w:rFonts w:ascii="Times New Roman" w:hAnsi="Times New Roman" w:cs="Times New Roman"/>
          <w:i/>
          <w:sz w:val="24"/>
          <w:szCs w:val="24"/>
        </w:rPr>
        <w:t xml:space="preserve">derden verzet </w:t>
      </w:r>
      <w:r w:rsidRPr="00B77D34">
        <w:rPr>
          <w:rFonts w:ascii="Times New Roman" w:hAnsi="Times New Roman" w:cs="Times New Roman"/>
          <w:sz w:val="24"/>
          <w:szCs w:val="24"/>
        </w:rPr>
        <w:t>atau perlawanan dari pihak ketiga dapat diajukan selama perkara tersebut belum mempunyai kekuatan hukum tetap. Selanjutnya dinyatakan bahwa upaya Hukum yang dapat dilakukan apabila perkara tersebut telah memiliki kekuatan hukum tetap dalam putusannya ialah gugatan biasa.</w:t>
      </w:r>
      <w:r w:rsidRPr="00B77D34">
        <w:rPr>
          <w:rStyle w:val="FootnoteReference"/>
          <w:rFonts w:ascii="Times New Roman" w:hAnsi="Times New Roman" w:cs="Times New Roman"/>
          <w:sz w:val="24"/>
          <w:szCs w:val="24"/>
        </w:rPr>
        <w:footnoteReference w:id="7"/>
      </w:r>
      <w:r w:rsidRPr="00B77D34">
        <w:rPr>
          <w:rFonts w:ascii="Times New Roman" w:hAnsi="Times New Roman" w:cs="Times New Roman"/>
          <w:spacing w:val="2"/>
          <w:sz w:val="24"/>
          <w:szCs w:val="24"/>
        </w:rPr>
        <w:t xml:space="preserve"> </w:t>
      </w:r>
      <w:r w:rsidRPr="00B77D34">
        <w:rPr>
          <w:rFonts w:ascii="Times New Roman" w:hAnsi="Times New Roman" w:cs="Times New Roman"/>
          <w:sz w:val="24"/>
          <w:szCs w:val="24"/>
        </w:rPr>
        <w:t>Perlawanan yang diajukan kepada Jaksa Penuntut Umum dalam kasus diatas, dapat dikatakan merupakan sebuah terobosan hukum yang dilakukan oleh para pihak. Mengingat bahwa perlawanan yang dilakukan ialah perlawanan dengan dasar hak milik atas jaminan pelunasan utang tertentu, terhadap suatu putusan</w:t>
      </w:r>
      <w:r w:rsidRPr="00B77D34">
        <w:rPr>
          <w:rFonts w:ascii="Times New Roman" w:hAnsi="Times New Roman" w:cs="Times New Roman"/>
          <w:spacing w:val="-1"/>
          <w:sz w:val="24"/>
          <w:szCs w:val="24"/>
        </w:rPr>
        <w:t xml:space="preserve"> </w:t>
      </w:r>
      <w:r w:rsidRPr="00B77D34">
        <w:rPr>
          <w:rFonts w:ascii="Times New Roman" w:hAnsi="Times New Roman" w:cs="Times New Roman"/>
          <w:sz w:val="24"/>
          <w:szCs w:val="24"/>
        </w:rPr>
        <w:t>pidana.</w:t>
      </w:r>
    </w:p>
    <w:p w:rsidR="006C2886" w:rsidRDefault="00B77D34" w:rsidP="00B77D34">
      <w:pPr>
        <w:spacing w:line="480" w:lineRule="auto"/>
        <w:ind w:firstLine="709"/>
        <w:jc w:val="both"/>
        <w:rPr>
          <w:rFonts w:ascii="Times New Roman" w:hAnsi="Times New Roman" w:cs="Times New Roman"/>
          <w:sz w:val="24"/>
          <w:szCs w:val="24"/>
        </w:rPr>
      </w:pPr>
      <w:r w:rsidRPr="00B77D34">
        <w:rPr>
          <w:rFonts w:ascii="Times New Roman" w:hAnsi="Times New Roman" w:cs="Times New Roman"/>
          <w:sz w:val="24"/>
          <w:szCs w:val="24"/>
        </w:rPr>
        <w:t xml:space="preserve">Majelis Hakim dalam pengadilan perkara perdata yang menangani kasus tersebut tentu saja terikat dengan asas </w:t>
      </w:r>
      <w:r w:rsidRPr="00B77D34">
        <w:rPr>
          <w:rFonts w:ascii="Times New Roman" w:hAnsi="Times New Roman" w:cs="Times New Roman"/>
          <w:i/>
          <w:sz w:val="24"/>
          <w:szCs w:val="24"/>
        </w:rPr>
        <w:t xml:space="preserve">Ius Curia Novit </w:t>
      </w:r>
      <w:r w:rsidRPr="00B77D34">
        <w:rPr>
          <w:rFonts w:ascii="Times New Roman" w:hAnsi="Times New Roman" w:cs="Times New Roman"/>
          <w:sz w:val="24"/>
          <w:szCs w:val="24"/>
        </w:rPr>
        <w:t xml:space="preserve">atau hakim dianggap mengetahui semua hukum. Dengan dalil tersebut, perlawanan yang diajukan pada pengadilan negeri perkara perdata tetap harus diterima oleh hakim. Hakim harus memberikan pelayanan pada para pencari keadilan. Dalam hal ini hakim haruslah melakukan suatu penemuan  hukum atau </w:t>
      </w:r>
      <w:r w:rsidRPr="00B77D34">
        <w:rPr>
          <w:rFonts w:ascii="Times New Roman" w:hAnsi="Times New Roman" w:cs="Times New Roman"/>
          <w:i/>
          <w:sz w:val="24"/>
          <w:szCs w:val="24"/>
        </w:rPr>
        <w:t>rechtvinding</w:t>
      </w:r>
      <w:r w:rsidRPr="00B77D34">
        <w:rPr>
          <w:rFonts w:ascii="Times New Roman" w:hAnsi="Times New Roman" w:cs="Times New Roman"/>
          <w:sz w:val="24"/>
          <w:szCs w:val="24"/>
        </w:rPr>
        <w:t>. Untuk melakukan hal tersebut hakim haruslah mencari dan menemukannya dari sumber hukum yang dibernarkan.</w:t>
      </w:r>
    </w:p>
    <w:p w:rsidR="00B77D34" w:rsidRDefault="008478B9" w:rsidP="00B77D34">
      <w:pPr>
        <w:spacing w:line="480" w:lineRule="auto"/>
        <w:ind w:firstLine="709"/>
        <w:jc w:val="both"/>
        <w:rPr>
          <w:rFonts w:ascii="Times New Roman" w:hAnsi="Times New Roman" w:cs="Times New Roman"/>
          <w:sz w:val="24"/>
          <w:szCs w:val="24"/>
        </w:rPr>
      </w:pPr>
      <w:r w:rsidRPr="008478B9">
        <w:rPr>
          <w:rFonts w:ascii="Times New Roman" w:hAnsi="Times New Roman" w:cs="Times New Roman"/>
          <w:sz w:val="24"/>
          <w:szCs w:val="24"/>
        </w:rPr>
        <w:t xml:space="preserve">Perlawanan oleh kreditor pemegang sertifikat jaminan fidusia, diajukan dengan dasar bahwa Pelawan dirugikan dengan adanya Putusan Pengadilan Negeri Jambi nomor. 637/Pid.B/2012/PN.JBI yang telah berkekuatan hukum tetap. Pelawan memilih Jaksa Penuntut Umum yang menangani perkara narkotika tersebut menjadi terlawan dikarenakan antara lain, Pelawan memiliki hak untuk </w:t>
      </w:r>
      <w:r w:rsidRPr="008478B9">
        <w:rPr>
          <w:rFonts w:ascii="Times New Roman" w:hAnsi="Times New Roman" w:cs="Times New Roman"/>
          <w:sz w:val="24"/>
          <w:szCs w:val="24"/>
        </w:rPr>
        <w:lastRenderedPageBreak/>
        <w:t>menentukan Terlawan. Terlawan juga merupakan institusi Negara yang diberi wewenang oleh peraturan perundang-undangan untuk melaksanakan putusan, serta terkait dengan BARAN tersebut.</w:t>
      </w:r>
      <w:r w:rsidRPr="008478B9">
        <w:rPr>
          <w:rStyle w:val="FootnoteReference"/>
          <w:rFonts w:ascii="Times New Roman" w:hAnsi="Times New Roman" w:cs="Times New Roman"/>
          <w:sz w:val="24"/>
          <w:szCs w:val="24"/>
        </w:rPr>
        <w:footnoteReference w:id="8"/>
      </w:r>
    </w:p>
    <w:p w:rsidR="008478B9" w:rsidRPr="00BA6407" w:rsidRDefault="008478B9" w:rsidP="008478B9">
      <w:pPr>
        <w:pStyle w:val="BodyText"/>
        <w:spacing w:before="216" w:line="480" w:lineRule="auto"/>
        <w:ind w:firstLine="720"/>
        <w:jc w:val="both"/>
        <w:rPr>
          <w:lang w:val="id-ID"/>
        </w:rPr>
      </w:pPr>
      <w:r>
        <w:t>Pelawan telah membuktikan haknya selaku pemegang Sertifikat Jaminan Fidusia atas mobil yang dirampas untuk negara dalam kasus yang telah memiliki putusan berkekuatan hukum tetap tersebut. Pelawan juga membuktikan bahwa benda tersebut telah terbebani dengan jaminan fidusia yang berarti bawha Hak Milik atas jaminan pada benda tersebut berada pada Pelawan.</w:t>
      </w:r>
      <w:r>
        <w:rPr>
          <w:rStyle w:val="FootnoteReference"/>
        </w:rPr>
        <w:footnoteReference w:id="9"/>
      </w:r>
      <w:r>
        <w:t xml:space="preserve"> Hak milik atas jaminan pada dasarnya adalah</w:t>
      </w:r>
      <w:r>
        <w:rPr>
          <w:spacing w:val="54"/>
        </w:rPr>
        <w:t xml:space="preserve"> </w:t>
      </w:r>
      <w:r>
        <w:t>ha</w:t>
      </w:r>
      <w:r>
        <w:rPr>
          <w:lang w:val="id-ID"/>
        </w:rPr>
        <w:t xml:space="preserve">k </w:t>
      </w:r>
      <w:r>
        <w:t>yang dapat dikatakan mutlak dengan melekatnya sifat-sifat hak kebendaan padanya.</w:t>
      </w:r>
      <w:r>
        <w:rPr>
          <w:rStyle w:val="FootnoteReference"/>
        </w:rPr>
        <w:footnoteReference w:id="10"/>
      </w:r>
    </w:p>
    <w:p w:rsidR="008478B9" w:rsidRDefault="008478B9"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073993">
        <w:rPr>
          <w:rFonts w:ascii="Times New Roman" w:hAnsi="Times New Roman" w:cs="Times New Roman"/>
          <w:sz w:val="24"/>
          <w:szCs w:val="24"/>
        </w:rPr>
        <w:t>uraian diata sudah jelas bahwa kedudukan objek jaminan Fidusia yaitu 1 (satu) unit mobil yang dirampas oleh negara tersebut merupakan hak kreditur pemegang sertifikat Jaminan Fidusia karena mampu membuktikan secara hukum bahwa 1 (satu) unit mobil tersebut adalah objek jaminan fidusia untuk hutang debitur atas Noviansyah Suhariadi yang tidak dapat membayar angsuran sesuai dengan kesepakatan dalam perjanjian fidusia yang dibuat sehingga kreditur dapat mempertahankan haknya sebagai pemilik yang sah terhadap 1 (satu) unit mobil dalam perkara pidana tersebut.</w:t>
      </w:r>
    </w:p>
    <w:p w:rsidR="00073993" w:rsidRDefault="00926836"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Dengan diundangkannya </w:t>
      </w:r>
      <w:r w:rsidR="00AA2BDD">
        <w:rPr>
          <w:rFonts w:ascii="Times New Roman" w:hAnsi="Times New Roman" w:cs="Times New Roman"/>
          <w:sz w:val="24"/>
          <w:szCs w:val="24"/>
        </w:rPr>
        <w:t xml:space="preserve">Undang-undang Nomor 42 Tahun 1999 tentang Jaminan Fidusia, maka pembuat undang-undang kita sudah memilih untuk </w:t>
      </w:r>
      <w:r w:rsidR="00AA2BDD">
        <w:rPr>
          <w:rFonts w:ascii="Times New Roman" w:hAnsi="Times New Roman" w:cs="Times New Roman"/>
          <w:sz w:val="24"/>
          <w:szCs w:val="24"/>
        </w:rPr>
        <w:lastRenderedPageBreak/>
        <w:t xml:space="preserve">mengatur fidusia dalam bentuk tertulis. Dikeluarkannya Undang-undang Jaminan Fidusia merupakan pengakuan resmi dari pembuat Undang-undang akan lembaga jaminan fidusia, yang selama ini baru memperoleh pengakuannya melalui yurisprudensi. Lembaga jaminan timbul didasari adanya keinginan untuk menuntut kepastian hukum atas utang yang timbul dari perjanjian kredit pada lembaga pembiayaan sebagai kreditur, dan untuk memberikan kepercayaan akan kemampuan mengembalikan pinjaman meskipun dalam kondisi ketidakmampuan dari debitur. Penanggungan jaminan seperti yang disebutkan diatas memang diperlukan oleh kreditur, karena </w:t>
      </w:r>
      <w:r w:rsidR="00355A7F">
        <w:rPr>
          <w:rFonts w:ascii="Times New Roman" w:hAnsi="Times New Roman" w:cs="Times New Roman"/>
          <w:sz w:val="24"/>
          <w:szCs w:val="24"/>
        </w:rPr>
        <w:t>dalam suatu perikatan antara kreditur dan debitur, pihak kreditur mempunyai suatu kepentingan bahwa debitur memenuhi kewajibannya dalam perikatan tersebut.</w:t>
      </w:r>
    </w:p>
    <w:p w:rsidR="007F30F1" w:rsidRDefault="007F30F1"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Sejalan dengan prinsif memberikan kepastian hukum, maka Undang-undang Jaminan Fidusia mengambil prinsif pendaftaran Jaminan Fidusia. Pendaftaran tersebut diharapkan memberikan kepastian hukum kepada pemberi dan penerima fidusia maupun kepada pihak ketiga. Pendaftaran jaminan fidusia dilakukan kepada Kementerian Hukum dan Hak Asasi Manusia RI. Perlindungan hukum dan kepentingan kreditur dalam Undang-undang Jaminan fidusia dapat dilihat pada Pasal 20 Undang-Undang Jaminan Fidusia: “</w:t>
      </w:r>
      <w:r>
        <w:rPr>
          <w:rFonts w:ascii="Times New Roman" w:hAnsi="Times New Roman" w:cs="Times New Roman"/>
          <w:i/>
          <w:sz w:val="24"/>
          <w:szCs w:val="24"/>
        </w:rPr>
        <w:t xml:space="preserve">Fidusia tetap mengikuti Benda yang menjadi objek Jaminan Fidusia dalam tangan siapapun Benda tersebut berada, kecuali pengalihan atas benda </w:t>
      </w:r>
      <w:r w:rsidR="00DC32BF">
        <w:rPr>
          <w:rFonts w:ascii="Times New Roman" w:hAnsi="Times New Roman" w:cs="Times New Roman"/>
          <w:i/>
          <w:sz w:val="24"/>
          <w:szCs w:val="24"/>
        </w:rPr>
        <w:t>persediaan yang menjadi objek Jaminan Fidusia”.</w:t>
      </w:r>
      <w:r w:rsidR="00A10F1D">
        <w:rPr>
          <w:rStyle w:val="FootnoteReference"/>
          <w:rFonts w:ascii="Times New Roman" w:hAnsi="Times New Roman" w:cs="Times New Roman"/>
          <w:i/>
          <w:sz w:val="24"/>
          <w:szCs w:val="24"/>
        </w:rPr>
        <w:footnoteReference w:id="11"/>
      </w:r>
      <w:r w:rsidR="00DC32BF">
        <w:rPr>
          <w:rFonts w:ascii="Times New Roman" w:hAnsi="Times New Roman" w:cs="Times New Roman"/>
          <w:i/>
          <w:sz w:val="24"/>
          <w:szCs w:val="24"/>
        </w:rPr>
        <w:t xml:space="preserve"> </w:t>
      </w:r>
      <w:r w:rsidR="00DC32BF">
        <w:rPr>
          <w:rFonts w:ascii="Times New Roman" w:hAnsi="Times New Roman" w:cs="Times New Roman"/>
          <w:sz w:val="24"/>
          <w:szCs w:val="24"/>
        </w:rPr>
        <w:t>Sebagai hak kebendaan, maka jaminan fidusia menyandang asas-asas antara lain hak jaminan itu mengikuti bendanya (</w:t>
      </w:r>
      <w:r w:rsidR="00DC32BF">
        <w:rPr>
          <w:rFonts w:ascii="Times New Roman" w:hAnsi="Times New Roman" w:cs="Times New Roman"/>
          <w:i/>
          <w:sz w:val="24"/>
          <w:szCs w:val="24"/>
        </w:rPr>
        <w:t>droit de suite</w:t>
      </w:r>
      <w:r w:rsidR="00DC32BF">
        <w:rPr>
          <w:rFonts w:ascii="Times New Roman" w:hAnsi="Times New Roman" w:cs="Times New Roman"/>
          <w:sz w:val="24"/>
          <w:szCs w:val="24"/>
        </w:rPr>
        <w:t xml:space="preserve">), </w:t>
      </w:r>
      <w:r w:rsidR="00DC32BF">
        <w:rPr>
          <w:rFonts w:ascii="Times New Roman" w:hAnsi="Times New Roman" w:cs="Times New Roman"/>
          <w:sz w:val="24"/>
          <w:szCs w:val="24"/>
        </w:rPr>
        <w:lastRenderedPageBreak/>
        <w:t>mempunyai kedudukan utama (hak preferen) dalam kaitannya dengan adanya kreditur lainnya.</w:t>
      </w:r>
    </w:p>
    <w:p w:rsidR="00DC32BF" w:rsidRDefault="00A10F1D"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Pembebanan fidusia diatur dalam Pasal 4 sampai Pasal 10 Undang-undang Nomor 42 Tahun 1999 tentang Jaminan Fidusia, yang dapat dilakukan dengan menggunakan instrumen </w:t>
      </w:r>
      <w:r w:rsidR="0077092F">
        <w:rPr>
          <w:rFonts w:ascii="Times New Roman" w:hAnsi="Times New Roman" w:cs="Times New Roman"/>
          <w:sz w:val="24"/>
          <w:szCs w:val="24"/>
        </w:rPr>
        <w:t>yang disebut dengan “Akta Jaminan Fidusia”. Akta Jaminan Fidusia ini dibuat dalam bentuk ata otentik, dibuat dihadapan Notaris dengan penggunaan bahasa Indonesia. Menurut Pasal 6 Undang-undang Jaminan Fidusia, akta tersebut yang dimaksud antara lain harus berisikan hal-hal: 1) Identitas pihak pemberi dan penerima fidusia; 2) Data perjanjian pokok yang dijamin fidusia; 3) Uraian tentang benda yang menjadi objek jaminan fidusia; 4) Nilai pinjaman; dan 5) Nilai benda yang menjadi objek jaminan fidusia.</w:t>
      </w:r>
    </w:p>
    <w:p w:rsidR="0077092F" w:rsidRDefault="0077092F"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Adanya kewajiban mendaftarkan jaminan fidusia pada Kementrian Hukum dan Hak Asasi Manusia, menunjukkan adanya asas </w:t>
      </w:r>
      <w:r>
        <w:rPr>
          <w:rFonts w:ascii="Times New Roman" w:hAnsi="Times New Roman" w:cs="Times New Roman"/>
          <w:i/>
          <w:sz w:val="24"/>
          <w:szCs w:val="24"/>
        </w:rPr>
        <w:t>Publisitas.</w:t>
      </w:r>
      <w:r>
        <w:rPr>
          <w:rFonts w:ascii="Times New Roman" w:hAnsi="Times New Roman" w:cs="Times New Roman"/>
          <w:sz w:val="24"/>
          <w:szCs w:val="24"/>
        </w:rPr>
        <w:t xml:space="preserve"> Dalam pendaftaran tersebut memuat data yang lengkap </w:t>
      </w:r>
      <w:r w:rsidR="00A224FF">
        <w:rPr>
          <w:rFonts w:ascii="Times New Roman" w:hAnsi="Times New Roman" w:cs="Times New Roman"/>
          <w:sz w:val="24"/>
          <w:szCs w:val="24"/>
        </w:rPr>
        <w:t>yang dicantumkan dalam akta jaminan fidusia. Pendaftaran tersebut dimaksudkan agar khalayak ramai yang mempunai kepentingan (pihak ketiga) bisa mengetahuinya, terutama beban-beban yang menindih benda tertentu, dan oleh karena itu daftar yang berangkutan dinyatakan terbuka untuk umum (Pasal 18 UUJF), dan ketentuan pedaftaran ini diadakan agar dapat diketahui oleh pihak ketiga bahwa suatu barang sudah dijaminkan secara fidusia.</w:t>
      </w:r>
    </w:p>
    <w:p w:rsidR="00A224FF" w:rsidRDefault="00A224FF"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Hal ini sangatlah penting sesuai dengan kasus yang penulis tinjau dimana kreditur tidak segera mendaftarkan perjanjian fidusia pada kantor pendaftaran </w:t>
      </w:r>
      <w:r>
        <w:rPr>
          <w:rFonts w:ascii="Times New Roman" w:hAnsi="Times New Roman" w:cs="Times New Roman"/>
          <w:sz w:val="24"/>
          <w:szCs w:val="24"/>
        </w:rPr>
        <w:lastRenderedPageBreak/>
        <w:t xml:space="preserve">fidusia yang mengakibatkan timbulnya permasalahan objek jaminan fidusia tersebut dirampas oleh Negara karena merupakan alat bukti dalam kasus narkotika atas dalil bahwa 1 (satu) unit mobil yang merupakan jaminan fidusia </w:t>
      </w:r>
      <w:r w:rsidR="00857518">
        <w:rPr>
          <w:rFonts w:ascii="Times New Roman" w:hAnsi="Times New Roman" w:cs="Times New Roman"/>
          <w:sz w:val="24"/>
          <w:szCs w:val="24"/>
        </w:rPr>
        <w:t>tersebut tidak dapat dibuktikan kepemilikannya. Sehingga untuk memperoleh objek jaminan fidusia kembali harus dengan upaya hukum perlawanan atas Putusan Pengadilan Negeri Jambi.</w:t>
      </w:r>
    </w:p>
    <w:p w:rsidR="00857518" w:rsidRDefault="00857518"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Dari paparan diatas bahwa terjadinya perampasan objek jaminan fidusia berawal dari keterlambatan kreditur mendaftarkan jaminan fidusia dalam jaminan pembiayaan yang dilakukan dengan debitur</w:t>
      </w:r>
      <w:r w:rsidR="000E519A">
        <w:rPr>
          <w:rFonts w:ascii="Times New Roman" w:hAnsi="Times New Roman" w:cs="Times New Roman"/>
          <w:sz w:val="24"/>
          <w:szCs w:val="24"/>
        </w:rPr>
        <w:t>, sehingga mempersulit kreditur melakukan eksekusi terhadap objek jaminan berada pada pihak ketiga. Penulis berpendapat bahwa walaupun penguasaan objek jaminan berada pada pemilik benda namun hak kepemilikannya pada perjanjian jaminan fidusia berdasarkan Pasal 1 Ayat (1)  UUJF, sehingga perlindungan hukum bagi kreditur cukup kuat untuk ambil alih objek jaminan fidusia yang dirampas oleh Negara tersebut.</w:t>
      </w:r>
    </w:p>
    <w:p w:rsidR="000E519A" w:rsidRPr="0092524E" w:rsidRDefault="000E519A" w:rsidP="00B77D3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itu kreditur memiliki prlindungan hukum berdasarkan asas </w:t>
      </w:r>
      <w:r>
        <w:rPr>
          <w:rFonts w:ascii="Times New Roman" w:hAnsi="Times New Roman" w:cs="Times New Roman"/>
          <w:i/>
          <w:sz w:val="24"/>
          <w:szCs w:val="24"/>
        </w:rPr>
        <w:t>droit de suite</w:t>
      </w:r>
      <w:r>
        <w:rPr>
          <w:rFonts w:ascii="Times New Roman" w:hAnsi="Times New Roman" w:cs="Times New Roman"/>
          <w:sz w:val="24"/>
          <w:szCs w:val="24"/>
        </w:rPr>
        <w:t xml:space="preserve"> yang dijelaskan dalam Pasal 20 Undang-undang Jaminan Fidusia yang artinya bahwa fidusia tetap mengikuti benda jaminan fidusia dimanapun benda tersebut berada. Sekalipun benda tersebut berada pada pihak </w:t>
      </w:r>
      <w:r w:rsidR="00296036">
        <w:rPr>
          <w:rFonts w:ascii="Times New Roman" w:hAnsi="Times New Roman" w:cs="Times New Roman"/>
          <w:sz w:val="24"/>
          <w:szCs w:val="24"/>
        </w:rPr>
        <w:t xml:space="preserve">ketiga, kreditur memiliki perlindungan hukum berdasarkan asas </w:t>
      </w:r>
      <w:r w:rsidR="00296036">
        <w:rPr>
          <w:rFonts w:ascii="Times New Roman" w:hAnsi="Times New Roman" w:cs="Times New Roman"/>
          <w:i/>
          <w:sz w:val="24"/>
          <w:szCs w:val="24"/>
        </w:rPr>
        <w:t>droit de preference</w:t>
      </w:r>
      <w:r w:rsidR="00296036">
        <w:rPr>
          <w:rFonts w:ascii="Times New Roman" w:hAnsi="Times New Roman" w:cs="Times New Roman"/>
          <w:sz w:val="24"/>
          <w:szCs w:val="24"/>
        </w:rPr>
        <w:t xml:space="preserve"> yangartinya bahwa hak dari kreditur pemegang jaminan tertentu untuk terlebih dahulu diberikan haknya atas pelunasan hutang yang diambil dari hasil penjualan barang atau benda yang menjadi objek jaminan fidusia.</w:t>
      </w:r>
    </w:p>
    <w:p w:rsidR="00C31B98" w:rsidRDefault="00C31B98" w:rsidP="009C5097">
      <w:pPr>
        <w:pStyle w:val="ListParagraph"/>
        <w:numPr>
          <w:ilvl w:val="0"/>
          <w:numId w:val="5"/>
        </w:numPr>
        <w:spacing w:line="480" w:lineRule="auto"/>
        <w:jc w:val="center"/>
        <w:rPr>
          <w:rFonts w:ascii="Times New Roman" w:hAnsi="Times New Roman" w:cs="Times New Roman"/>
          <w:b/>
          <w:sz w:val="24"/>
          <w:szCs w:val="24"/>
          <w:lang w:val="en-US"/>
        </w:rPr>
      </w:pPr>
      <w:r w:rsidRPr="00C31B98">
        <w:rPr>
          <w:rFonts w:ascii="Times New Roman" w:hAnsi="Times New Roman" w:cs="Times New Roman"/>
          <w:b/>
          <w:sz w:val="24"/>
          <w:szCs w:val="24"/>
          <w:lang w:val="en-US"/>
        </w:rPr>
        <w:lastRenderedPageBreak/>
        <w:t>PENUTUP</w:t>
      </w:r>
    </w:p>
    <w:p w:rsidR="00C31B98" w:rsidRDefault="00C31B98" w:rsidP="00C31B9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3C318C" w:rsidRDefault="00C31B98" w:rsidP="003C318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pembahasan diatas maka dapat ditarik kesimpulan sebagai berikut : 1) Kedudukan Objek Jaminan Fidusia yang dirampas oleh Negara tetap berada pada kreditur selaku pemegang sertifikat jaminan fidusia, hal ini dapat dilihat pada Putusan Mahkamah Agung Nomor : 1270 K/PDT/2015, bahwa dalam kasus tersebut dibuktikan bahwa telah terjadi peralihan hak sementara dari pemberi fidusia kepada penerima fidusia, sehingga terbitlah sertifikat </w:t>
      </w:r>
      <w:r w:rsidR="003C318C">
        <w:rPr>
          <w:rFonts w:ascii="Times New Roman" w:hAnsi="Times New Roman" w:cs="Times New Roman"/>
          <w:sz w:val="24"/>
          <w:szCs w:val="24"/>
          <w:lang w:val="en-US"/>
        </w:rPr>
        <w:t xml:space="preserve">jaminan fidusia yang dibuat oleh Notaris dihadapan para pihak yaitu PT. Oto Multiartha sebagai kreditur dan Noviansyah sebagai debitur; 2) Perlindungan hokum terhadap pemegang sertifikat jaminan fidusia diatur dalam Pasal 20 Undang-Undang Nomor 42 Tahun 1999 tentang Jaminan Fidusia dimanapun berada atau objek jaminan fidusia berada di pihak ketiga sekalipun maka kreditur memiliki wewenang untuk mengambilnya, pasal tersebut mengandung asas </w:t>
      </w:r>
      <w:r w:rsidR="003C318C">
        <w:rPr>
          <w:rFonts w:ascii="Times New Roman" w:hAnsi="Times New Roman" w:cs="Times New Roman"/>
          <w:i/>
          <w:sz w:val="24"/>
          <w:szCs w:val="24"/>
          <w:lang w:val="en-US"/>
        </w:rPr>
        <w:t>Droit de Suite.</w:t>
      </w:r>
    </w:p>
    <w:p w:rsidR="003C318C" w:rsidRDefault="003C318C" w:rsidP="00C31B9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3C318C" w:rsidRDefault="003C318C" w:rsidP="003C318C">
      <w:pPr>
        <w:spacing w:line="480" w:lineRule="auto"/>
        <w:ind w:firstLine="720"/>
        <w:jc w:val="both"/>
        <w:rPr>
          <w:rFonts w:ascii="Times New Roman" w:hAnsi="Times New Roman" w:cs="Times New Roman"/>
          <w:sz w:val="24"/>
        </w:rPr>
      </w:pPr>
      <w:r w:rsidRPr="004C539C">
        <w:rPr>
          <w:rFonts w:ascii="Times New Roman" w:hAnsi="Times New Roman" w:cs="Times New Roman"/>
          <w:sz w:val="24"/>
          <w:szCs w:val="24"/>
        </w:rPr>
        <w:t>Berdasarkan kesimpulan diatas, penyusun memiliki saran yang mungkin dapat berguna bagi kelangsungan penegakan Hukum Jaminan Fidusia di indonesi, dimana saran tersebut adalah :</w:t>
      </w:r>
      <w:r>
        <w:rPr>
          <w:rFonts w:ascii="Times New Roman" w:hAnsi="Times New Roman" w:cs="Times New Roman"/>
          <w:sz w:val="24"/>
          <w:szCs w:val="24"/>
          <w:lang w:val="en-US"/>
        </w:rPr>
        <w:t xml:space="preserve"> 1) </w:t>
      </w:r>
      <w:r w:rsidRPr="003C318C">
        <w:rPr>
          <w:rFonts w:ascii="Times New Roman" w:hAnsi="Times New Roman" w:cs="Times New Roman"/>
          <w:sz w:val="24"/>
        </w:rPr>
        <w:t xml:space="preserve">Pemerintah seharusnya menyempurnakan mengenai pengaturan terhadap Jaminan Fidusia khususnya pada bagian pendaftaran Jaminan Fidusia agar diberikan tenggat waktu mengenai batas pendaftaran Jaminan Fidusia sejak dibuatnya perjanjian pokok. Hal tersebut demi mengantisipasi adanya hal-hal yang tidak diinginkan seperti yang terjadi pada </w:t>
      </w:r>
      <w:r w:rsidRPr="003C318C">
        <w:rPr>
          <w:rFonts w:ascii="Times New Roman" w:hAnsi="Times New Roman" w:cs="Times New Roman"/>
          <w:sz w:val="24"/>
        </w:rPr>
        <w:lastRenderedPageBreak/>
        <w:t>kasus yang diangkat oleh penulis untuk diteliti yakni tidak adanya kejelasan kepemilikan atas suatu benda padahal benda tersebut menjadi objek perjanjian dengan Jaminan</w:t>
      </w:r>
      <w:r w:rsidRPr="003C318C">
        <w:rPr>
          <w:rFonts w:ascii="Times New Roman" w:hAnsi="Times New Roman" w:cs="Times New Roman"/>
          <w:spacing w:val="-3"/>
          <w:sz w:val="24"/>
        </w:rPr>
        <w:t xml:space="preserve"> </w:t>
      </w:r>
      <w:r w:rsidRPr="003C318C">
        <w:rPr>
          <w:rFonts w:ascii="Times New Roman" w:hAnsi="Times New Roman" w:cs="Times New Roman"/>
          <w:sz w:val="24"/>
        </w:rPr>
        <w:t>Fidusia.</w:t>
      </w:r>
      <w:r w:rsidRPr="0092524E">
        <w:rPr>
          <w:rFonts w:ascii="Times New Roman" w:hAnsi="Times New Roman" w:cs="Times New Roman"/>
          <w:sz w:val="24"/>
          <w:szCs w:val="24"/>
        </w:rPr>
        <w:t xml:space="preserve"> </w:t>
      </w:r>
      <w:r>
        <w:rPr>
          <w:rFonts w:ascii="Times New Roman" w:hAnsi="Times New Roman" w:cs="Times New Roman"/>
          <w:sz w:val="24"/>
          <w:szCs w:val="24"/>
          <w:lang w:val="en-US"/>
        </w:rPr>
        <w:t xml:space="preserve">2) </w:t>
      </w:r>
      <w:r w:rsidRPr="004C539C">
        <w:rPr>
          <w:rFonts w:ascii="Times New Roman" w:hAnsi="Times New Roman" w:cs="Times New Roman"/>
          <w:sz w:val="24"/>
        </w:rPr>
        <w:t>Kreditor khususnya Perusahaan Pembiayaan sebaiknya dalam melakukan usahanya agar lebih memperhatikan bagian atau surat- menyurat serta identitas dari benda-benda yang terkait dengan usahanya. Selanjutnya bagi kreditor yang akan melakukan perjanjian Jaminan Fidusia untuk segera memproses benda objek Jaminan Fidusia hingga terdaftar demi kepentingan pembuktian dan menghindari masalah yang tidak diinginkan yang membutuhkan proses berkepanjangan.</w:t>
      </w:r>
    </w:p>
    <w:p w:rsidR="009C5097" w:rsidRDefault="009C5097">
      <w:pPr>
        <w:rPr>
          <w:rFonts w:ascii="Times New Roman" w:hAnsi="Times New Roman" w:cs="Times New Roman"/>
          <w:sz w:val="24"/>
        </w:rPr>
        <w:sectPr w:rsidR="009C5097" w:rsidSect="00855BF8">
          <w:headerReference w:type="default" r:id="rId12"/>
          <w:pgSz w:w="11906" w:h="16838"/>
          <w:pgMar w:top="2268" w:right="1701" w:bottom="1701" w:left="2268" w:header="709" w:footer="709" w:gutter="0"/>
          <w:pgNumType w:fmt="lowerRoman" w:start="1" w:chapStyle="3"/>
          <w:cols w:space="708"/>
          <w:docGrid w:linePitch="360"/>
        </w:sectPr>
      </w:pPr>
    </w:p>
    <w:p w:rsidR="003C318C" w:rsidRPr="009C5097" w:rsidRDefault="005E2808" w:rsidP="009C5097">
      <w:pPr>
        <w:jc w:val="center"/>
        <w:rPr>
          <w:rFonts w:ascii="Times New Roman" w:hAnsi="Times New Roman" w:cs="Times New Roman"/>
          <w:sz w:val="24"/>
        </w:rPr>
      </w:pPr>
      <w:r>
        <w:rPr>
          <w:rFonts w:ascii="Times New Roman" w:hAnsi="Times New Roman" w:cs="Times New Roman"/>
          <w:b/>
          <w:sz w:val="24"/>
          <w:szCs w:val="24"/>
          <w:lang w:val="en-US"/>
        </w:rPr>
        <w:lastRenderedPageBreak/>
        <w:t>DAFTAR PUSTAKA</w:t>
      </w:r>
    </w:p>
    <w:p w:rsidR="005E2808" w:rsidRDefault="005E2808" w:rsidP="005E2808">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BUKU</w:t>
      </w:r>
    </w:p>
    <w:p w:rsidR="005E2808" w:rsidRDefault="005E2808" w:rsidP="005E2808">
      <w:pPr>
        <w:spacing w:line="240" w:lineRule="auto"/>
        <w:ind w:left="567" w:hanging="567"/>
        <w:rPr>
          <w:rFonts w:asciiTheme="majorBidi" w:hAnsiTheme="majorBidi" w:cstheme="majorBidi"/>
          <w:w w:val="105"/>
          <w:sz w:val="24"/>
          <w:szCs w:val="24"/>
          <w:lang w:val="en-US"/>
        </w:rPr>
      </w:pPr>
      <w:r w:rsidRPr="00BE3B31">
        <w:rPr>
          <w:rFonts w:asciiTheme="majorBidi" w:hAnsiTheme="majorBidi" w:cstheme="majorBidi"/>
          <w:w w:val="105"/>
          <w:sz w:val="24"/>
          <w:szCs w:val="24"/>
        </w:rPr>
        <w:t xml:space="preserve">Gunawan Widjaja &amp; Ahmad Yani, </w:t>
      </w:r>
      <w:r>
        <w:rPr>
          <w:rFonts w:asciiTheme="majorBidi" w:hAnsiTheme="majorBidi" w:cstheme="majorBidi"/>
          <w:w w:val="105"/>
          <w:sz w:val="24"/>
          <w:szCs w:val="24"/>
        </w:rPr>
        <w:t xml:space="preserve">2007, </w:t>
      </w:r>
      <w:r w:rsidRPr="00BE3B31">
        <w:rPr>
          <w:rFonts w:asciiTheme="majorBidi" w:hAnsiTheme="majorBidi" w:cstheme="majorBidi"/>
          <w:i/>
          <w:w w:val="105"/>
          <w:sz w:val="24"/>
          <w:szCs w:val="24"/>
        </w:rPr>
        <w:t>Jaminan Fidusia</w:t>
      </w:r>
      <w:r w:rsidRPr="00BE3B31">
        <w:rPr>
          <w:rFonts w:asciiTheme="majorBidi" w:hAnsiTheme="majorBidi" w:cstheme="majorBidi"/>
          <w:w w:val="105"/>
          <w:sz w:val="24"/>
          <w:szCs w:val="24"/>
        </w:rPr>
        <w:t>, PT. RajaGrafindo Persada,Jakarta</w:t>
      </w:r>
      <w:r>
        <w:rPr>
          <w:rFonts w:asciiTheme="majorBidi" w:hAnsiTheme="majorBidi" w:cstheme="majorBidi"/>
          <w:w w:val="105"/>
          <w:sz w:val="24"/>
          <w:szCs w:val="24"/>
        </w:rPr>
        <w:t>.</w:t>
      </w:r>
    </w:p>
    <w:p w:rsidR="005E2808" w:rsidRDefault="005E2808" w:rsidP="005E2808">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 Yahya Harahap, 2015, </w:t>
      </w:r>
      <w:r>
        <w:rPr>
          <w:rFonts w:ascii="Times New Roman" w:hAnsi="Times New Roman" w:cs="Times New Roman"/>
          <w:i/>
          <w:sz w:val="24"/>
          <w:szCs w:val="24"/>
          <w:lang w:val="en-US"/>
        </w:rPr>
        <w:t xml:space="preserve">Hukum Acara Perdata, </w:t>
      </w:r>
      <w:r>
        <w:rPr>
          <w:rFonts w:ascii="Times New Roman" w:hAnsi="Times New Roman" w:cs="Times New Roman"/>
          <w:sz w:val="24"/>
          <w:szCs w:val="24"/>
          <w:lang w:val="en-US"/>
        </w:rPr>
        <w:t>Sinar Grafika, Jakarta.</w:t>
      </w:r>
    </w:p>
    <w:p w:rsidR="005E2808" w:rsidRDefault="005E2808" w:rsidP="005E2808">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Mariam Darus Badrulzaman, 1983, </w:t>
      </w:r>
      <w:r>
        <w:rPr>
          <w:rFonts w:ascii="Times New Roman" w:hAnsi="Times New Roman" w:cs="Times New Roman"/>
          <w:i/>
          <w:sz w:val="24"/>
          <w:szCs w:val="24"/>
          <w:lang w:val="en-US"/>
        </w:rPr>
        <w:t xml:space="preserve">Mencari Sistem Hukum Benda Nasional, </w:t>
      </w:r>
      <w:r>
        <w:rPr>
          <w:rFonts w:ascii="Times New Roman" w:hAnsi="Times New Roman" w:cs="Times New Roman"/>
          <w:sz w:val="24"/>
          <w:szCs w:val="24"/>
          <w:lang w:val="en-US"/>
        </w:rPr>
        <w:t>Alumni, Bandung.</w:t>
      </w:r>
    </w:p>
    <w:p w:rsidR="005E2808" w:rsidRDefault="005E2808" w:rsidP="005E2808">
      <w:pPr>
        <w:spacing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Sudikno Mertokusumo, 2009, </w:t>
      </w:r>
      <w:r>
        <w:rPr>
          <w:rFonts w:ascii="Times New Roman" w:hAnsi="Times New Roman" w:cs="Times New Roman"/>
          <w:i/>
          <w:sz w:val="24"/>
          <w:szCs w:val="24"/>
          <w:lang w:val="en-US"/>
        </w:rPr>
        <w:t xml:space="preserve">Hukum Acara Perdata Indonesia, </w:t>
      </w:r>
      <w:r>
        <w:rPr>
          <w:rFonts w:ascii="Times New Roman" w:hAnsi="Times New Roman" w:cs="Times New Roman"/>
          <w:sz w:val="24"/>
          <w:szCs w:val="24"/>
          <w:lang w:val="en-US"/>
        </w:rPr>
        <w:t>Liberty, Yogyakarta.</w:t>
      </w:r>
    </w:p>
    <w:p w:rsidR="005E2808" w:rsidRDefault="005E2808" w:rsidP="005E2808">
      <w:pPr>
        <w:spacing w:line="240" w:lineRule="auto"/>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PERATURAN-PERATURAN</w:t>
      </w:r>
    </w:p>
    <w:p w:rsidR="005E2808" w:rsidRPr="005E2808" w:rsidRDefault="005E2808" w:rsidP="005E2808">
      <w:pPr>
        <w:spacing w:line="240" w:lineRule="auto"/>
        <w:ind w:left="567" w:hanging="567"/>
        <w:rPr>
          <w:rFonts w:ascii="Times New Roman" w:hAnsi="Times New Roman" w:cs="Times New Roman"/>
          <w:sz w:val="24"/>
          <w:szCs w:val="24"/>
          <w:lang w:val="en-US"/>
        </w:rPr>
      </w:pPr>
      <w:r>
        <w:rPr>
          <w:rFonts w:asciiTheme="majorBidi" w:hAnsiTheme="majorBidi" w:cstheme="majorBidi"/>
          <w:iCs/>
          <w:sz w:val="24"/>
          <w:szCs w:val="24"/>
          <w:lang w:val="en-US"/>
        </w:rPr>
        <w:t xml:space="preserve">Indonesia, </w:t>
      </w:r>
      <w:r w:rsidRPr="00D158BC">
        <w:rPr>
          <w:rFonts w:asciiTheme="majorBidi" w:hAnsiTheme="majorBidi" w:cstheme="majorBidi"/>
          <w:i/>
          <w:iCs/>
          <w:sz w:val="24"/>
          <w:szCs w:val="24"/>
          <w:lang w:val="en-US"/>
        </w:rPr>
        <w:t>Kitab</w:t>
      </w:r>
      <w:r>
        <w:rPr>
          <w:rFonts w:asciiTheme="majorBidi" w:hAnsiTheme="majorBidi" w:cstheme="majorBidi"/>
          <w:i/>
          <w:iCs/>
          <w:sz w:val="24"/>
          <w:szCs w:val="24"/>
          <w:lang w:val="en-US"/>
        </w:rPr>
        <w:t xml:space="preserve"> </w:t>
      </w:r>
      <w:r w:rsidRPr="00D158BC">
        <w:rPr>
          <w:rFonts w:asciiTheme="majorBidi" w:hAnsiTheme="majorBidi" w:cstheme="majorBidi"/>
          <w:i/>
          <w:iCs/>
          <w:sz w:val="24"/>
          <w:szCs w:val="24"/>
          <w:lang w:val="en-US"/>
        </w:rPr>
        <w:t>Undang-Undang</w:t>
      </w:r>
      <w:r>
        <w:rPr>
          <w:rFonts w:asciiTheme="majorBidi" w:hAnsiTheme="majorBidi" w:cstheme="majorBidi"/>
          <w:i/>
          <w:iCs/>
          <w:sz w:val="24"/>
          <w:szCs w:val="24"/>
          <w:lang w:val="en-US"/>
        </w:rPr>
        <w:t xml:space="preserve"> </w:t>
      </w:r>
      <w:r w:rsidRPr="00D158BC">
        <w:rPr>
          <w:rFonts w:asciiTheme="majorBidi" w:hAnsiTheme="majorBidi" w:cstheme="majorBidi"/>
          <w:i/>
          <w:iCs/>
          <w:sz w:val="24"/>
          <w:szCs w:val="24"/>
          <w:lang w:val="en-US"/>
        </w:rPr>
        <w:t>Hukum</w:t>
      </w:r>
      <w:r>
        <w:rPr>
          <w:rFonts w:asciiTheme="majorBidi" w:hAnsiTheme="majorBidi" w:cstheme="majorBidi"/>
          <w:i/>
          <w:iCs/>
          <w:sz w:val="24"/>
          <w:szCs w:val="24"/>
          <w:lang w:val="en-US"/>
        </w:rPr>
        <w:t xml:space="preserve"> </w:t>
      </w:r>
      <w:r w:rsidRPr="00D158BC">
        <w:rPr>
          <w:rFonts w:asciiTheme="majorBidi" w:hAnsiTheme="majorBidi" w:cstheme="majorBidi"/>
          <w:i/>
          <w:iCs/>
          <w:sz w:val="24"/>
          <w:szCs w:val="24"/>
          <w:lang w:val="en-US"/>
        </w:rPr>
        <w:t>Acara</w:t>
      </w:r>
      <w:r>
        <w:rPr>
          <w:rFonts w:asciiTheme="majorBidi" w:hAnsiTheme="majorBidi" w:cstheme="majorBidi"/>
          <w:i/>
          <w:iCs/>
          <w:sz w:val="24"/>
          <w:szCs w:val="24"/>
          <w:lang w:val="en-US"/>
        </w:rPr>
        <w:t xml:space="preserve"> </w:t>
      </w:r>
      <w:r w:rsidRPr="00D158BC">
        <w:rPr>
          <w:rFonts w:asciiTheme="majorBidi" w:hAnsiTheme="majorBidi" w:cstheme="majorBidi"/>
          <w:i/>
          <w:iCs/>
          <w:sz w:val="24"/>
          <w:szCs w:val="24"/>
          <w:lang w:val="en-US"/>
        </w:rPr>
        <w:t>Pidana</w:t>
      </w:r>
      <w:r>
        <w:rPr>
          <w:rFonts w:asciiTheme="majorBidi" w:hAnsiTheme="majorBidi" w:cstheme="majorBidi"/>
          <w:iCs/>
          <w:sz w:val="24"/>
          <w:szCs w:val="24"/>
          <w:lang w:val="en-US"/>
        </w:rPr>
        <w:t>.</w:t>
      </w:r>
    </w:p>
    <w:p w:rsidR="005E2808" w:rsidRDefault="005E2808" w:rsidP="005E2808">
      <w:pPr>
        <w:spacing w:after="0" w:line="240" w:lineRule="auto"/>
        <w:jc w:val="both"/>
        <w:rPr>
          <w:rFonts w:asciiTheme="majorBidi" w:hAnsiTheme="majorBidi" w:cstheme="majorBidi"/>
          <w:iCs/>
          <w:sz w:val="24"/>
          <w:szCs w:val="24"/>
          <w:lang w:val="en-US"/>
        </w:rPr>
      </w:pPr>
      <w:r w:rsidRPr="005E2808">
        <w:rPr>
          <w:rFonts w:asciiTheme="majorBidi" w:hAnsiTheme="majorBidi" w:cstheme="majorBidi"/>
          <w:sz w:val="24"/>
          <w:szCs w:val="24"/>
        </w:rPr>
        <w:t xml:space="preserve">Indonesia, </w:t>
      </w:r>
      <w:r w:rsidRPr="005E2808">
        <w:rPr>
          <w:rFonts w:asciiTheme="majorBidi" w:hAnsiTheme="majorBidi" w:cstheme="majorBidi"/>
          <w:i/>
          <w:iCs/>
          <w:sz w:val="24"/>
          <w:szCs w:val="24"/>
        </w:rPr>
        <w:t>Undang-Undang Nomor 42 Tahun 1999 tentang Jaminan Fidusia.</w:t>
      </w:r>
    </w:p>
    <w:p w:rsidR="005E2808" w:rsidRDefault="005E2808" w:rsidP="005E2808">
      <w:pPr>
        <w:spacing w:after="0" w:line="240" w:lineRule="auto"/>
        <w:jc w:val="both"/>
        <w:rPr>
          <w:rFonts w:asciiTheme="majorBidi" w:hAnsiTheme="majorBidi" w:cstheme="majorBidi"/>
          <w:iCs/>
          <w:sz w:val="24"/>
          <w:szCs w:val="24"/>
          <w:lang w:val="en-US"/>
        </w:rPr>
      </w:pPr>
    </w:p>
    <w:p w:rsidR="005E2808" w:rsidRDefault="005E2808" w:rsidP="005E2808">
      <w:pPr>
        <w:spacing w:after="0" w:line="240" w:lineRule="auto"/>
        <w:jc w:val="both"/>
        <w:rPr>
          <w:rFonts w:asciiTheme="majorBidi" w:hAnsiTheme="majorBidi" w:cstheme="majorBidi"/>
          <w:b/>
          <w:iCs/>
          <w:sz w:val="24"/>
          <w:szCs w:val="24"/>
          <w:lang w:val="en-US"/>
        </w:rPr>
      </w:pPr>
      <w:r>
        <w:rPr>
          <w:rFonts w:asciiTheme="majorBidi" w:hAnsiTheme="majorBidi" w:cstheme="majorBidi"/>
          <w:b/>
          <w:iCs/>
          <w:sz w:val="24"/>
          <w:szCs w:val="24"/>
          <w:lang w:val="en-US"/>
        </w:rPr>
        <w:t>LAIN-LAIN</w:t>
      </w:r>
    </w:p>
    <w:p w:rsidR="005E2808" w:rsidRDefault="005E2808" w:rsidP="005E2808">
      <w:pPr>
        <w:spacing w:after="0" w:line="240" w:lineRule="auto"/>
        <w:jc w:val="both"/>
        <w:rPr>
          <w:rFonts w:asciiTheme="majorBidi" w:hAnsiTheme="majorBidi" w:cstheme="majorBidi"/>
          <w:b/>
          <w:iCs/>
          <w:sz w:val="24"/>
          <w:szCs w:val="24"/>
          <w:lang w:val="en-US"/>
        </w:rPr>
      </w:pPr>
    </w:p>
    <w:p w:rsidR="005E2808" w:rsidRPr="006815B6" w:rsidRDefault="00EB7994" w:rsidP="006815B6">
      <w:pPr>
        <w:spacing w:line="240" w:lineRule="auto"/>
        <w:ind w:left="567" w:hanging="567"/>
        <w:jc w:val="both"/>
        <w:rPr>
          <w:rFonts w:ascii="Times New Roman" w:hAnsi="Times New Roman" w:cs="Times New Roman"/>
          <w:w w:val="105"/>
          <w:sz w:val="24"/>
          <w:szCs w:val="24"/>
        </w:rPr>
      </w:pPr>
      <w:hyperlink r:id="rId13" w:history="1">
        <w:r w:rsidR="005E2808" w:rsidRPr="006815B6">
          <w:rPr>
            <w:rStyle w:val="Hyperlink"/>
            <w:rFonts w:ascii="Times New Roman" w:hAnsi="Times New Roman" w:cs="Times New Roman"/>
            <w:color w:val="auto"/>
            <w:sz w:val="24"/>
            <w:szCs w:val="24"/>
            <w:u w:val="none" w:color="0000FF"/>
          </w:rPr>
          <w:t>http://www.hukumonline.com/pusatdata/detail/lt58b442a3e1bd4/node/lt49f8136861e28</w:t>
        </w:r>
        <w:r w:rsidR="005E2808" w:rsidRPr="006815B6">
          <w:rPr>
            <w:rStyle w:val="Hyperlink"/>
            <w:rFonts w:ascii="Times New Roman" w:hAnsi="Times New Roman" w:cs="Times New Roman"/>
            <w:color w:val="auto"/>
            <w:w w:val="105"/>
            <w:sz w:val="24"/>
            <w:szCs w:val="24"/>
            <w:u w:val="none" w:color="0000FF"/>
          </w:rPr>
          <w:t>/putusan-pengadilan-tinggi-jambino</w:t>
        </w:r>
      </w:hyperlink>
      <w:r w:rsidR="005E2808" w:rsidRPr="006815B6">
        <w:rPr>
          <w:rFonts w:ascii="Times New Roman" w:hAnsi="Times New Roman" w:cs="Times New Roman"/>
          <w:w w:val="105"/>
          <w:sz w:val="24"/>
          <w:szCs w:val="24"/>
          <w:u w:color="0000FF"/>
        </w:rPr>
        <w:t>09_pdt2014_pt.jbi.pemerintah-republik-indonesia-vs.-pt.-oto-multiartha</w:t>
      </w:r>
      <w:r w:rsidR="005E2808" w:rsidRPr="006815B6">
        <w:rPr>
          <w:rFonts w:ascii="Times New Roman" w:hAnsi="Times New Roman" w:cs="Times New Roman"/>
          <w:w w:val="105"/>
          <w:sz w:val="24"/>
          <w:szCs w:val="24"/>
        </w:rPr>
        <w:t>diakses pada tanggal 17 Juli 2017 pukul 15.40 WIB.</w:t>
      </w:r>
    </w:p>
    <w:p w:rsidR="006815B6" w:rsidRPr="006815B6" w:rsidRDefault="00EB7994" w:rsidP="006815B6">
      <w:pPr>
        <w:spacing w:line="240" w:lineRule="auto"/>
        <w:ind w:left="567" w:hanging="567"/>
        <w:jc w:val="both"/>
        <w:rPr>
          <w:rFonts w:ascii="Times New Roman" w:hAnsi="Times New Roman" w:cs="Times New Roman"/>
          <w:w w:val="105"/>
          <w:sz w:val="24"/>
          <w:szCs w:val="24"/>
          <w:lang w:val="en-US"/>
        </w:rPr>
      </w:pPr>
      <w:hyperlink r:id="rId14" w:history="1">
        <w:r w:rsidR="006815B6" w:rsidRPr="006815B6">
          <w:rPr>
            <w:rStyle w:val="Hyperlink"/>
            <w:rFonts w:ascii="Times New Roman" w:hAnsi="Times New Roman" w:cs="Times New Roman"/>
            <w:color w:val="auto"/>
            <w:w w:val="105"/>
            <w:sz w:val="24"/>
            <w:szCs w:val="24"/>
            <w:u w:val="none"/>
          </w:rPr>
          <w:t>http://www.hukumonline.com/pusatdata/detail/lt588b3f71a0069/node/lt49f8136861e28/putusan-ma-no-1270-k_pdt2015pemerintahrepublikindonesia</w:t>
        </w:r>
      </w:hyperlink>
      <w:r w:rsidR="006815B6" w:rsidRPr="006815B6">
        <w:rPr>
          <w:rFonts w:ascii="Times New Roman" w:hAnsi="Times New Roman" w:cs="Times New Roman"/>
          <w:w w:val="105"/>
          <w:sz w:val="24"/>
          <w:szCs w:val="24"/>
          <w:lang w:val="en-US"/>
        </w:rPr>
        <w:t xml:space="preserve"> </w:t>
      </w:r>
      <w:r w:rsidR="005E2808" w:rsidRPr="006815B6">
        <w:rPr>
          <w:rFonts w:ascii="Times New Roman" w:hAnsi="Times New Roman" w:cs="Times New Roman"/>
          <w:w w:val="105"/>
          <w:sz w:val="24"/>
          <w:szCs w:val="24"/>
        </w:rPr>
        <w:t>-vs.-pt.-oto-multiarthadiakses pada tanggal 6 Oktober 2019 pukul 15.24 WIB</w:t>
      </w:r>
      <w:r w:rsidR="006815B6" w:rsidRPr="006815B6">
        <w:rPr>
          <w:rFonts w:ascii="Times New Roman" w:hAnsi="Times New Roman" w:cs="Times New Roman"/>
          <w:w w:val="105"/>
          <w:sz w:val="24"/>
          <w:szCs w:val="24"/>
          <w:lang w:val="en-US"/>
        </w:rPr>
        <w:t>.</w:t>
      </w:r>
    </w:p>
    <w:p w:rsidR="006815B6" w:rsidRDefault="006815B6" w:rsidP="006815B6">
      <w:pPr>
        <w:spacing w:line="240" w:lineRule="auto"/>
        <w:ind w:left="567" w:hanging="567"/>
        <w:jc w:val="both"/>
        <w:rPr>
          <w:rFonts w:ascii="Times New Roman" w:hAnsi="Times New Roman" w:cs="Times New Roman"/>
          <w:w w:val="105"/>
          <w:sz w:val="24"/>
          <w:szCs w:val="24"/>
          <w:lang w:val="en-US"/>
        </w:rPr>
      </w:pPr>
      <w:r>
        <w:rPr>
          <w:rFonts w:ascii="Times New Roman" w:hAnsi="Times New Roman" w:cs="Times New Roman"/>
          <w:w w:val="105"/>
          <w:sz w:val="24"/>
          <w:szCs w:val="24"/>
          <w:lang w:val="en-US"/>
        </w:rPr>
        <w:t>Putusan Pengadilan Negeri pada Pengadilan Negeri Jambi Nomor 44/PDT.PLW/2013/PN.JBI.</w:t>
      </w:r>
    </w:p>
    <w:p w:rsidR="006815B6" w:rsidRPr="006815B6" w:rsidRDefault="006815B6" w:rsidP="006815B6">
      <w:pPr>
        <w:spacing w:line="240" w:lineRule="auto"/>
        <w:ind w:left="567" w:hanging="567"/>
        <w:jc w:val="both"/>
        <w:rPr>
          <w:rFonts w:ascii="Times New Roman" w:hAnsi="Times New Roman" w:cs="Times New Roman"/>
          <w:w w:val="105"/>
          <w:sz w:val="24"/>
          <w:szCs w:val="24"/>
          <w:lang w:val="en-US"/>
        </w:rPr>
      </w:pPr>
      <w:r>
        <w:rPr>
          <w:rFonts w:ascii="Times New Roman" w:hAnsi="Times New Roman" w:cs="Times New Roman"/>
          <w:w w:val="105"/>
          <w:sz w:val="24"/>
          <w:szCs w:val="24"/>
          <w:lang w:val="en-US"/>
        </w:rPr>
        <w:t>Putusan Pengadilan Negeri pda Pengadilan Negeri Jambi Nomor 637/Pid.B/2012/PN.JBI.</w:t>
      </w:r>
    </w:p>
    <w:p w:rsidR="006815B6" w:rsidRPr="006815B6" w:rsidRDefault="006815B6" w:rsidP="006815B6">
      <w:pPr>
        <w:spacing w:after="0" w:line="240" w:lineRule="auto"/>
        <w:ind w:left="567" w:hanging="567"/>
        <w:jc w:val="both"/>
        <w:rPr>
          <w:rFonts w:ascii="Times New Roman" w:hAnsi="Times New Roman" w:cs="Times New Roman"/>
          <w:w w:val="105"/>
          <w:sz w:val="24"/>
          <w:szCs w:val="24"/>
          <w:lang w:val="en-US"/>
        </w:rPr>
      </w:pPr>
    </w:p>
    <w:sectPr w:rsidR="006815B6" w:rsidRPr="006815B6" w:rsidSect="006815B6">
      <w:headerReference w:type="default" r:id="rId15"/>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336" w:rsidRDefault="00DB0336" w:rsidP="006C2886">
      <w:pPr>
        <w:spacing w:after="0" w:line="240" w:lineRule="auto"/>
      </w:pPr>
      <w:r>
        <w:separator/>
      </w:r>
    </w:p>
  </w:endnote>
  <w:endnote w:type="continuationSeparator" w:id="0">
    <w:p w:rsidR="00DB0336" w:rsidRDefault="00DB0336" w:rsidP="006C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336" w:rsidRDefault="00DB0336" w:rsidP="006C2886">
      <w:pPr>
        <w:spacing w:after="0" w:line="240" w:lineRule="auto"/>
      </w:pPr>
      <w:r>
        <w:separator/>
      </w:r>
    </w:p>
  </w:footnote>
  <w:footnote w:type="continuationSeparator" w:id="0">
    <w:p w:rsidR="00DB0336" w:rsidRDefault="00DB0336" w:rsidP="006C2886">
      <w:pPr>
        <w:spacing w:after="0" w:line="240" w:lineRule="auto"/>
      </w:pPr>
      <w:r>
        <w:continuationSeparator/>
      </w:r>
    </w:p>
  </w:footnote>
  <w:footnote w:id="1">
    <w:p w:rsidR="006C2886" w:rsidRPr="00E27D3C" w:rsidRDefault="006C2886" w:rsidP="006C2886">
      <w:pPr>
        <w:spacing w:after="0" w:line="240" w:lineRule="auto"/>
        <w:ind w:firstLine="567"/>
        <w:jc w:val="both"/>
        <w:rPr>
          <w:rFonts w:ascii="Times New Roman" w:hAnsi="Times New Roman" w:cs="Times New Roman"/>
          <w:sz w:val="20"/>
          <w:szCs w:val="20"/>
        </w:rPr>
      </w:pPr>
      <w:r w:rsidRPr="00E27D3C">
        <w:rPr>
          <w:rStyle w:val="FootnoteReference"/>
          <w:rFonts w:ascii="Times New Roman" w:hAnsi="Times New Roman" w:cs="Times New Roman"/>
          <w:sz w:val="20"/>
          <w:szCs w:val="20"/>
        </w:rPr>
        <w:footnoteRef/>
      </w:r>
      <w:r w:rsidRPr="00E27D3C">
        <w:rPr>
          <w:rFonts w:ascii="Times New Roman" w:hAnsi="Times New Roman" w:cs="Times New Roman"/>
          <w:w w:val="105"/>
          <w:sz w:val="20"/>
          <w:szCs w:val="20"/>
        </w:rPr>
        <w:t xml:space="preserve">Gunawan Widjaja &amp; Ahmad Yani, </w:t>
      </w:r>
      <w:r w:rsidRPr="00E27D3C">
        <w:rPr>
          <w:rFonts w:ascii="Times New Roman" w:hAnsi="Times New Roman" w:cs="Times New Roman"/>
          <w:i/>
          <w:w w:val="105"/>
          <w:sz w:val="20"/>
          <w:szCs w:val="20"/>
        </w:rPr>
        <w:t>Jaminan Fidusia</w:t>
      </w:r>
      <w:r w:rsidRPr="00E27D3C">
        <w:rPr>
          <w:rFonts w:ascii="Times New Roman" w:hAnsi="Times New Roman" w:cs="Times New Roman"/>
          <w:w w:val="105"/>
          <w:sz w:val="20"/>
          <w:szCs w:val="20"/>
        </w:rPr>
        <w:t>, PT. RajaGrafindo Persada,Jakarta, 2007, hlm. 158.</w:t>
      </w:r>
    </w:p>
  </w:footnote>
  <w:footnote w:id="2">
    <w:p w:rsidR="006C2886" w:rsidRPr="00E27D3C" w:rsidRDefault="006C2886" w:rsidP="006C2886">
      <w:pPr>
        <w:spacing w:after="0"/>
        <w:ind w:firstLine="567"/>
        <w:jc w:val="both"/>
        <w:rPr>
          <w:rFonts w:ascii="Times New Roman" w:hAnsi="Times New Roman" w:cs="Times New Roman"/>
          <w:sz w:val="20"/>
          <w:szCs w:val="20"/>
        </w:rPr>
      </w:pPr>
      <w:r w:rsidRPr="00855BF8">
        <w:rPr>
          <w:rStyle w:val="FootnoteReference"/>
          <w:rFonts w:ascii="Times New Roman" w:hAnsi="Times New Roman" w:cs="Times New Roman"/>
          <w:sz w:val="20"/>
          <w:szCs w:val="20"/>
        </w:rPr>
        <w:footnoteRef/>
      </w:r>
      <w:hyperlink r:id="rId1" w:history="1">
        <w:r w:rsidRPr="00855BF8">
          <w:rPr>
            <w:rStyle w:val="Hyperlink"/>
            <w:rFonts w:ascii="Times New Roman" w:hAnsi="Times New Roman" w:cs="Times New Roman"/>
            <w:color w:val="auto"/>
            <w:sz w:val="20"/>
            <w:szCs w:val="20"/>
            <w:u w:val="none"/>
          </w:rPr>
          <w:t>http://www.hukumonline.com/pusatdata/detail/lt58b442a3e1bd4/node/lt49f8136861e28</w:t>
        </w:r>
        <w:r w:rsidRPr="00855BF8">
          <w:rPr>
            <w:rStyle w:val="Hyperlink"/>
            <w:rFonts w:ascii="Times New Roman" w:hAnsi="Times New Roman" w:cs="Times New Roman"/>
            <w:color w:val="auto"/>
            <w:w w:val="105"/>
            <w:sz w:val="20"/>
            <w:szCs w:val="20"/>
            <w:u w:val="none"/>
          </w:rPr>
          <w:t>/putusan- pengadilan-tinggi- jambi-no-09_pdt_ 2014_pt.jbi. -pemerintah-republik-</w:t>
        </w:r>
      </w:hyperlink>
      <w:r w:rsidRPr="00855BF8">
        <w:rPr>
          <w:rFonts w:ascii="Times New Roman" w:hAnsi="Times New Roman" w:cs="Times New Roman"/>
          <w:w w:val="105"/>
          <w:sz w:val="20"/>
          <w:szCs w:val="20"/>
        </w:rPr>
        <w:t xml:space="preserve"> indonesia-vs.-pt.-oto-multiartha diakses pada tanggal 6 Oktober</w:t>
      </w:r>
      <w:r w:rsidRPr="00E27D3C">
        <w:rPr>
          <w:rFonts w:ascii="Times New Roman" w:hAnsi="Times New Roman" w:cs="Times New Roman"/>
          <w:w w:val="105"/>
          <w:sz w:val="20"/>
          <w:szCs w:val="20"/>
        </w:rPr>
        <w:t xml:space="preserve"> 2019  pukul 15.40 WIB.</w:t>
      </w:r>
    </w:p>
  </w:footnote>
  <w:footnote w:id="3">
    <w:p w:rsidR="006C2886" w:rsidRPr="006858FC" w:rsidRDefault="006C2886" w:rsidP="006C2886">
      <w:pPr>
        <w:spacing w:line="220" w:lineRule="exact"/>
        <w:ind w:firstLine="567"/>
        <w:jc w:val="both"/>
        <w:rPr>
          <w:rFonts w:ascii="Times New Roman" w:hAnsi="Times New Roman" w:cs="Times New Roman"/>
          <w:sz w:val="20"/>
          <w:szCs w:val="20"/>
        </w:rPr>
      </w:pPr>
      <w:r w:rsidRPr="00E27D3C">
        <w:rPr>
          <w:rStyle w:val="FootnoteReference"/>
          <w:rFonts w:ascii="Times New Roman" w:hAnsi="Times New Roman" w:cs="Times New Roman"/>
          <w:sz w:val="20"/>
          <w:szCs w:val="20"/>
        </w:rPr>
        <w:footnoteRef/>
      </w:r>
      <w:hyperlink r:id="rId2" w:history="1">
        <w:r w:rsidRPr="00E27D3C">
          <w:rPr>
            <w:rStyle w:val="Hyperlink"/>
            <w:rFonts w:ascii="Times New Roman" w:hAnsi="Times New Roman" w:cs="Times New Roman"/>
            <w:color w:val="auto"/>
            <w:sz w:val="20"/>
            <w:szCs w:val="20"/>
          </w:rPr>
          <w:t>http://www.hukumonline.com/pusatdata/detail/lt588b3f71a0069/node/lt49f8136861e28/</w:t>
        </w:r>
        <w:r w:rsidRPr="00E27D3C">
          <w:rPr>
            <w:rStyle w:val="Hyperlink"/>
            <w:rFonts w:ascii="Times New Roman" w:hAnsi="Times New Roman" w:cs="Times New Roman"/>
            <w:color w:val="auto"/>
            <w:w w:val="105"/>
            <w:sz w:val="20"/>
            <w:szCs w:val="20"/>
          </w:rPr>
          <w:t>putusan-ma-no-1270-k_pdt_2015 -pemerintah -republik-indonesia -vs.-pt.-oto- multiartha</w:t>
        </w:r>
        <w:r w:rsidRPr="00E27D3C">
          <w:rPr>
            <w:rStyle w:val="Hyperlink"/>
            <w:rFonts w:ascii="Times New Roman" w:hAnsi="Times New Roman" w:cs="Times New Roman"/>
            <w:color w:val="auto"/>
            <w:sz w:val="20"/>
            <w:szCs w:val="20"/>
          </w:rPr>
          <w:t>diakses</w:t>
        </w:r>
      </w:hyperlink>
      <w:r w:rsidRPr="006858FC">
        <w:rPr>
          <w:rFonts w:ascii="Times New Roman" w:hAnsi="Times New Roman" w:cs="Times New Roman"/>
          <w:sz w:val="20"/>
          <w:szCs w:val="20"/>
        </w:rPr>
        <w:t xml:space="preserve"> </w:t>
      </w:r>
      <w:r w:rsidRPr="006858FC">
        <w:rPr>
          <w:rFonts w:ascii="Times New Roman" w:hAnsi="Times New Roman" w:cs="Times New Roman"/>
          <w:w w:val="105"/>
          <w:sz w:val="20"/>
          <w:szCs w:val="20"/>
        </w:rPr>
        <w:t>pada tanggal 6 Oktober 2019 pukul 16.38WIB.</w:t>
      </w:r>
    </w:p>
    <w:p w:rsidR="006C2886" w:rsidRDefault="006C2886" w:rsidP="006C2886">
      <w:pPr>
        <w:pStyle w:val="FootnoteText"/>
      </w:pPr>
    </w:p>
  </w:footnote>
  <w:footnote w:id="4">
    <w:p w:rsidR="00B77D34" w:rsidRPr="003B4E4D" w:rsidRDefault="00B77D34" w:rsidP="00B77D34">
      <w:pPr>
        <w:pStyle w:val="FootnoteText"/>
        <w:ind w:firstLine="720"/>
        <w:jc w:val="both"/>
        <w:rPr>
          <w:rFonts w:ascii="Times New Roman" w:hAnsi="Times New Roman" w:cs="Times New Roman"/>
        </w:rPr>
      </w:pPr>
      <w:r w:rsidRPr="003B4E4D">
        <w:rPr>
          <w:rStyle w:val="FootnoteReference"/>
          <w:rFonts w:ascii="Times New Roman" w:hAnsi="Times New Roman" w:cs="Times New Roman"/>
        </w:rPr>
        <w:footnoteRef/>
      </w:r>
      <w:r w:rsidRPr="003B4E4D">
        <w:rPr>
          <w:rFonts w:ascii="Times New Roman" w:hAnsi="Times New Roman" w:cs="Times New Roman"/>
        </w:rPr>
        <w:t xml:space="preserve"> Putusan Pengadilan Negeri pada Pengadilan Negeri Jambi Nomor 44/PDT.PLW/2013/PN.JBI.</w:t>
      </w:r>
    </w:p>
  </w:footnote>
  <w:footnote w:id="5">
    <w:p w:rsidR="00B77D34" w:rsidRPr="003B4E4D" w:rsidRDefault="00B77D34" w:rsidP="00B77D34">
      <w:pPr>
        <w:pStyle w:val="FootnoteText"/>
        <w:ind w:firstLine="720"/>
        <w:jc w:val="both"/>
        <w:rPr>
          <w:rFonts w:ascii="Times New Roman" w:hAnsi="Times New Roman" w:cs="Times New Roman"/>
        </w:rPr>
      </w:pPr>
      <w:r w:rsidRPr="003B4E4D">
        <w:rPr>
          <w:rStyle w:val="FootnoteReference"/>
          <w:rFonts w:ascii="Times New Roman" w:hAnsi="Times New Roman" w:cs="Times New Roman"/>
        </w:rPr>
        <w:footnoteRef/>
      </w:r>
      <w:r w:rsidRPr="003B4E4D">
        <w:rPr>
          <w:rFonts w:ascii="Times New Roman" w:hAnsi="Times New Roman" w:cs="Times New Roman"/>
        </w:rPr>
        <w:t xml:space="preserve"> Putusan Pengadilan Negeri pada Pengadilan Negeri Jambi Nomor 637/Pid.B/2012?PN.JBI.</w:t>
      </w:r>
    </w:p>
  </w:footnote>
  <w:footnote w:id="6">
    <w:p w:rsidR="00B77D34" w:rsidRPr="00D008CA" w:rsidRDefault="00B77D34" w:rsidP="00B77D34">
      <w:pPr>
        <w:spacing w:after="0" w:line="222" w:lineRule="exact"/>
        <w:ind w:firstLine="720"/>
        <w:jc w:val="both"/>
        <w:rPr>
          <w:rFonts w:ascii="Times New Roman" w:hAnsi="Times New Roman" w:cs="Times New Roman"/>
          <w:sz w:val="20"/>
          <w:szCs w:val="20"/>
        </w:rPr>
      </w:pPr>
      <w:r>
        <w:rPr>
          <w:rStyle w:val="FootnoteReference"/>
        </w:rPr>
        <w:footnoteRef/>
      </w:r>
      <w:r>
        <w:t xml:space="preserve"> </w:t>
      </w:r>
      <w:r w:rsidRPr="00D008CA">
        <w:rPr>
          <w:rFonts w:ascii="Times New Roman" w:hAnsi="Times New Roman" w:cs="Times New Roman"/>
          <w:w w:val="105"/>
          <w:sz w:val="20"/>
          <w:szCs w:val="20"/>
        </w:rPr>
        <w:t xml:space="preserve">Sudikno Mertokusumo, </w:t>
      </w:r>
      <w:r w:rsidRPr="00D008CA">
        <w:rPr>
          <w:rFonts w:ascii="Times New Roman" w:hAnsi="Times New Roman" w:cs="Times New Roman"/>
          <w:i/>
          <w:w w:val="105"/>
          <w:sz w:val="20"/>
          <w:szCs w:val="20"/>
        </w:rPr>
        <w:t>Hukum Acara Perdata Indonesia</w:t>
      </w:r>
      <w:r w:rsidRPr="00D008CA">
        <w:rPr>
          <w:rFonts w:ascii="Times New Roman" w:hAnsi="Times New Roman" w:cs="Times New Roman"/>
          <w:w w:val="105"/>
          <w:sz w:val="20"/>
          <w:szCs w:val="20"/>
        </w:rPr>
        <w:t>, Liberty, Yogyakarta, 2009),</w:t>
      </w:r>
      <w:r w:rsidRPr="00D008CA">
        <w:rPr>
          <w:rFonts w:ascii="Times New Roman" w:hAnsi="Times New Roman" w:cs="Times New Roman"/>
          <w:sz w:val="20"/>
          <w:szCs w:val="20"/>
        </w:rPr>
        <w:t xml:space="preserve"> </w:t>
      </w:r>
      <w:r w:rsidRPr="00D008CA">
        <w:rPr>
          <w:rFonts w:ascii="Times New Roman" w:hAnsi="Times New Roman" w:cs="Times New Roman"/>
          <w:w w:val="105"/>
          <w:sz w:val="20"/>
          <w:szCs w:val="20"/>
        </w:rPr>
        <w:t>hlm. 248.</w:t>
      </w:r>
    </w:p>
  </w:footnote>
  <w:footnote w:id="7">
    <w:p w:rsidR="00B77D34" w:rsidRPr="00D008CA" w:rsidRDefault="00B77D34" w:rsidP="00B77D34">
      <w:pPr>
        <w:spacing w:after="0"/>
        <w:ind w:firstLine="720"/>
        <w:rPr>
          <w:rFonts w:ascii="Times New Roman" w:hAnsi="Times New Roman" w:cs="Times New Roman"/>
          <w:sz w:val="20"/>
          <w:szCs w:val="20"/>
        </w:rPr>
      </w:pPr>
      <w:r w:rsidRPr="00D008CA">
        <w:rPr>
          <w:rStyle w:val="FootnoteReference"/>
          <w:rFonts w:ascii="Times New Roman" w:hAnsi="Times New Roman" w:cs="Times New Roman"/>
          <w:sz w:val="20"/>
          <w:szCs w:val="20"/>
        </w:rPr>
        <w:footnoteRef/>
      </w:r>
      <w:r w:rsidRPr="00D008CA">
        <w:rPr>
          <w:rFonts w:ascii="Times New Roman" w:hAnsi="Times New Roman" w:cs="Times New Roman"/>
          <w:sz w:val="20"/>
          <w:szCs w:val="20"/>
        </w:rPr>
        <w:t xml:space="preserve"> </w:t>
      </w:r>
      <w:r w:rsidRPr="00D008CA">
        <w:rPr>
          <w:rFonts w:ascii="Times New Roman" w:hAnsi="Times New Roman" w:cs="Times New Roman"/>
          <w:w w:val="105"/>
          <w:sz w:val="20"/>
          <w:szCs w:val="20"/>
        </w:rPr>
        <w:t xml:space="preserve">M. Yahya Harahap, </w:t>
      </w:r>
      <w:r w:rsidRPr="00D008CA">
        <w:rPr>
          <w:rFonts w:ascii="Times New Roman" w:hAnsi="Times New Roman" w:cs="Times New Roman"/>
          <w:i/>
          <w:w w:val="105"/>
          <w:sz w:val="20"/>
          <w:szCs w:val="20"/>
        </w:rPr>
        <w:t>Hukum Acara Perdata</w:t>
      </w:r>
      <w:r w:rsidRPr="00D008CA">
        <w:rPr>
          <w:rFonts w:ascii="Times New Roman" w:hAnsi="Times New Roman" w:cs="Times New Roman"/>
          <w:w w:val="105"/>
          <w:sz w:val="20"/>
          <w:szCs w:val="20"/>
        </w:rPr>
        <w:t>, Sinar Grafika, Jakarta, 2015, hlm. 300.</w:t>
      </w:r>
    </w:p>
  </w:footnote>
  <w:footnote w:id="8">
    <w:p w:rsidR="008478B9" w:rsidRPr="00BA6407" w:rsidRDefault="008478B9" w:rsidP="008478B9">
      <w:pPr>
        <w:spacing w:after="0" w:line="211" w:lineRule="exact"/>
        <w:ind w:firstLine="720"/>
        <w:jc w:val="both"/>
        <w:rPr>
          <w:rFonts w:ascii="Times New Roman" w:hAnsi="Times New Roman" w:cs="Times New Roman"/>
          <w:sz w:val="20"/>
          <w:szCs w:val="20"/>
        </w:rPr>
      </w:pPr>
      <w:r w:rsidRPr="00BA6407">
        <w:rPr>
          <w:rStyle w:val="FootnoteReference"/>
          <w:rFonts w:ascii="Times New Roman" w:hAnsi="Times New Roman" w:cs="Times New Roman"/>
          <w:sz w:val="20"/>
          <w:szCs w:val="20"/>
        </w:rPr>
        <w:footnoteRef/>
      </w:r>
      <w:r w:rsidRPr="00BA6407">
        <w:rPr>
          <w:rFonts w:ascii="Times New Roman" w:hAnsi="Times New Roman" w:cs="Times New Roman"/>
          <w:sz w:val="20"/>
          <w:szCs w:val="20"/>
        </w:rPr>
        <w:t xml:space="preserve"> </w:t>
      </w:r>
      <w:r w:rsidRPr="00BA6407">
        <w:rPr>
          <w:rFonts w:ascii="Times New Roman" w:hAnsi="Times New Roman" w:cs="Times New Roman"/>
          <w:w w:val="105"/>
          <w:sz w:val="20"/>
          <w:szCs w:val="20"/>
        </w:rPr>
        <w:t>Pasal 1 angka 6 huruf a Kitab Undang-Undang Hukum Acara Pidana.</w:t>
      </w:r>
    </w:p>
  </w:footnote>
  <w:footnote w:id="9">
    <w:p w:rsidR="008478B9" w:rsidRPr="00BA6407" w:rsidRDefault="008478B9" w:rsidP="008478B9">
      <w:pPr>
        <w:spacing w:after="0" w:line="230" w:lineRule="exact"/>
        <w:ind w:firstLine="720"/>
        <w:jc w:val="both"/>
        <w:rPr>
          <w:rFonts w:ascii="Times New Roman" w:hAnsi="Times New Roman" w:cs="Times New Roman"/>
          <w:sz w:val="20"/>
          <w:szCs w:val="20"/>
        </w:rPr>
      </w:pPr>
      <w:r w:rsidRPr="00BA6407">
        <w:rPr>
          <w:rStyle w:val="FootnoteReference"/>
          <w:rFonts w:ascii="Times New Roman" w:hAnsi="Times New Roman" w:cs="Times New Roman"/>
          <w:sz w:val="20"/>
          <w:szCs w:val="20"/>
        </w:rPr>
        <w:footnoteRef/>
      </w:r>
      <w:r w:rsidRPr="00BA6407">
        <w:rPr>
          <w:rFonts w:ascii="Times New Roman" w:hAnsi="Times New Roman" w:cs="Times New Roman"/>
          <w:sz w:val="20"/>
          <w:szCs w:val="20"/>
        </w:rPr>
        <w:t xml:space="preserve"> </w:t>
      </w:r>
      <w:r w:rsidRPr="00BA6407">
        <w:rPr>
          <w:rFonts w:ascii="Times New Roman" w:hAnsi="Times New Roman" w:cs="Times New Roman"/>
          <w:w w:val="105"/>
          <w:sz w:val="20"/>
          <w:szCs w:val="20"/>
        </w:rPr>
        <w:t>Putusan</w:t>
      </w:r>
      <w:r w:rsidRPr="00BA6407">
        <w:rPr>
          <w:rFonts w:ascii="Times New Roman" w:hAnsi="Times New Roman" w:cs="Times New Roman"/>
          <w:w w:val="105"/>
          <w:sz w:val="20"/>
          <w:szCs w:val="20"/>
        </w:rPr>
        <w:tab/>
        <w:t>Pengadilan</w:t>
      </w:r>
      <w:r w:rsidRPr="00BA6407">
        <w:rPr>
          <w:rFonts w:ascii="Times New Roman" w:hAnsi="Times New Roman" w:cs="Times New Roman"/>
          <w:w w:val="105"/>
          <w:sz w:val="20"/>
          <w:szCs w:val="20"/>
        </w:rPr>
        <w:tab/>
        <w:t>Nege</w:t>
      </w:r>
      <w:r>
        <w:rPr>
          <w:rFonts w:ascii="Times New Roman" w:hAnsi="Times New Roman" w:cs="Times New Roman"/>
          <w:w w:val="105"/>
          <w:sz w:val="20"/>
          <w:szCs w:val="20"/>
        </w:rPr>
        <w:t>ri</w:t>
      </w:r>
      <w:r>
        <w:rPr>
          <w:rFonts w:ascii="Times New Roman" w:hAnsi="Times New Roman" w:cs="Times New Roman"/>
          <w:w w:val="105"/>
          <w:sz w:val="20"/>
          <w:szCs w:val="20"/>
        </w:rPr>
        <w:tab/>
        <w:t>pada</w:t>
      </w:r>
      <w:r>
        <w:rPr>
          <w:rFonts w:ascii="Times New Roman" w:hAnsi="Times New Roman" w:cs="Times New Roman"/>
          <w:w w:val="105"/>
          <w:sz w:val="20"/>
          <w:szCs w:val="20"/>
        </w:rPr>
        <w:tab/>
        <w:t>Pengadilan</w:t>
      </w:r>
      <w:r>
        <w:rPr>
          <w:rFonts w:ascii="Times New Roman" w:hAnsi="Times New Roman" w:cs="Times New Roman"/>
          <w:w w:val="105"/>
          <w:sz w:val="20"/>
          <w:szCs w:val="20"/>
        </w:rPr>
        <w:tab/>
        <w:t>Negeri</w:t>
      </w:r>
      <w:r>
        <w:rPr>
          <w:rFonts w:ascii="Times New Roman" w:hAnsi="Times New Roman" w:cs="Times New Roman"/>
          <w:w w:val="105"/>
          <w:sz w:val="20"/>
          <w:szCs w:val="20"/>
        </w:rPr>
        <w:tab/>
        <w:t xml:space="preserve">Jambi </w:t>
      </w:r>
      <w:r w:rsidRPr="00BA6407">
        <w:rPr>
          <w:rFonts w:ascii="Times New Roman" w:hAnsi="Times New Roman" w:cs="Times New Roman"/>
          <w:sz w:val="20"/>
          <w:szCs w:val="20"/>
        </w:rPr>
        <w:t xml:space="preserve">Nomor </w:t>
      </w:r>
      <w:r w:rsidRPr="00BA6407">
        <w:rPr>
          <w:rFonts w:ascii="Times New Roman" w:hAnsi="Times New Roman" w:cs="Times New Roman"/>
          <w:w w:val="105"/>
          <w:sz w:val="20"/>
          <w:szCs w:val="20"/>
        </w:rPr>
        <w:t>44/PDT.PLW/2013/PN.JBI.</w:t>
      </w:r>
    </w:p>
  </w:footnote>
  <w:footnote w:id="10">
    <w:p w:rsidR="008478B9" w:rsidRPr="00BA6407" w:rsidRDefault="008478B9" w:rsidP="008478B9">
      <w:pPr>
        <w:spacing w:before="47" w:line="252" w:lineRule="auto"/>
        <w:ind w:firstLine="720"/>
        <w:jc w:val="both"/>
        <w:rPr>
          <w:rFonts w:ascii="Times New Roman" w:hAnsi="Times New Roman" w:cs="Times New Roman"/>
          <w:sz w:val="20"/>
          <w:szCs w:val="20"/>
        </w:rPr>
      </w:pPr>
      <w:r w:rsidRPr="00BA6407">
        <w:rPr>
          <w:rStyle w:val="FootnoteReference"/>
          <w:rFonts w:ascii="Times New Roman" w:hAnsi="Times New Roman" w:cs="Times New Roman"/>
          <w:sz w:val="20"/>
          <w:szCs w:val="20"/>
        </w:rPr>
        <w:footnoteRef/>
      </w:r>
      <w:r w:rsidRPr="00BA6407">
        <w:rPr>
          <w:rFonts w:ascii="Times New Roman" w:hAnsi="Times New Roman" w:cs="Times New Roman"/>
          <w:sz w:val="20"/>
          <w:szCs w:val="20"/>
        </w:rPr>
        <w:t xml:space="preserve"> </w:t>
      </w:r>
      <w:r w:rsidRPr="00BA6407">
        <w:rPr>
          <w:rFonts w:ascii="Times New Roman" w:hAnsi="Times New Roman" w:cs="Times New Roman"/>
          <w:w w:val="105"/>
          <w:sz w:val="20"/>
          <w:szCs w:val="20"/>
        </w:rPr>
        <w:t xml:space="preserve">Mariam Darus Badrulzaman, </w:t>
      </w:r>
      <w:r w:rsidRPr="00BA6407">
        <w:rPr>
          <w:rFonts w:ascii="Times New Roman" w:hAnsi="Times New Roman" w:cs="Times New Roman"/>
          <w:i/>
          <w:w w:val="105"/>
          <w:sz w:val="20"/>
          <w:szCs w:val="20"/>
        </w:rPr>
        <w:t>Mencari Sistem Hukum Benda Nasional</w:t>
      </w:r>
      <w:r w:rsidRPr="00BA6407">
        <w:rPr>
          <w:rFonts w:ascii="Times New Roman" w:hAnsi="Times New Roman" w:cs="Times New Roman"/>
          <w:w w:val="105"/>
          <w:sz w:val="20"/>
          <w:szCs w:val="20"/>
        </w:rPr>
        <w:t>,</w:t>
      </w:r>
      <w:r>
        <w:rPr>
          <w:rFonts w:ascii="Times New Roman" w:hAnsi="Times New Roman" w:cs="Times New Roman"/>
          <w:w w:val="105"/>
          <w:sz w:val="20"/>
          <w:szCs w:val="20"/>
        </w:rPr>
        <w:t xml:space="preserve"> Alumni, Bandung, 1983, hlm. 30</w:t>
      </w:r>
    </w:p>
  </w:footnote>
  <w:footnote w:id="11">
    <w:p w:rsidR="00A10F1D" w:rsidRPr="00A10F1D" w:rsidRDefault="00A10F1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Pasal 20 Undang-undang Nomor 42  Tahun 1999 tentang Jaminan Fidusia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97" w:rsidRPr="009C5097" w:rsidRDefault="009C5097" w:rsidP="009C5097">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97" w:rsidRDefault="009C5097">
    <w:pPr>
      <w:pStyle w:val="Header"/>
      <w:jc w:val="right"/>
    </w:pPr>
  </w:p>
  <w:p w:rsidR="009C5097" w:rsidRPr="009C5097" w:rsidRDefault="009C5097" w:rsidP="009C5097">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72654"/>
      <w:docPartObj>
        <w:docPartGallery w:val="Page Numbers (Top of Page)"/>
        <w:docPartUnique/>
      </w:docPartObj>
    </w:sdtPr>
    <w:sdtEndPr>
      <w:rPr>
        <w:noProof/>
      </w:rPr>
    </w:sdtEndPr>
    <w:sdtContent>
      <w:p w:rsidR="00855BF8" w:rsidRPr="00855BF8" w:rsidRDefault="00855BF8" w:rsidP="009C5097">
        <w:pPr>
          <w:pStyle w:val="Header"/>
          <w:jc w:val="right"/>
          <w:rPr>
            <w:lang w:val="en-US"/>
          </w:rPr>
        </w:pPr>
        <w:r>
          <w:fldChar w:fldCharType="begin"/>
        </w:r>
        <w:r>
          <w:instrText xml:space="preserve"> PAGE   \* MERGEFORMAT </w:instrText>
        </w:r>
        <w:r>
          <w:fldChar w:fldCharType="separate"/>
        </w:r>
        <w:r w:rsidR="00EB7994">
          <w:rPr>
            <w:noProof/>
          </w:rPr>
          <w:t>i</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BF8" w:rsidRPr="00855BF8" w:rsidRDefault="00855BF8" w:rsidP="009C509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53B7A"/>
    <w:multiLevelType w:val="hybridMultilevel"/>
    <w:tmpl w:val="252A129A"/>
    <w:lvl w:ilvl="0" w:tplc="8F2CEE4A">
      <w:start w:val="1"/>
      <w:numFmt w:val="upperRoman"/>
      <w:lvlText w:val="%1."/>
      <w:lvlJc w:val="left"/>
      <w:pPr>
        <w:ind w:left="1080" w:hanging="72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916EA"/>
    <w:multiLevelType w:val="hybridMultilevel"/>
    <w:tmpl w:val="6E6807DC"/>
    <w:lvl w:ilvl="0" w:tplc="30CED2B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E3A0252"/>
    <w:multiLevelType w:val="hybridMultilevel"/>
    <w:tmpl w:val="6E621240"/>
    <w:lvl w:ilvl="0" w:tplc="767E4A7A">
      <w:start w:val="1"/>
      <w:numFmt w:val="upperLetter"/>
      <w:lvlText w:val="%1."/>
      <w:lvlJc w:val="left"/>
      <w:pPr>
        <w:ind w:left="1316" w:hanging="360"/>
        <w:jc w:val="left"/>
      </w:pPr>
      <w:rPr>
        <w:rFonts w:ascii="Times New Roman" w:eastAsia="Times New Roman" w:hAnsi="Times New Roman" w:cs="Times New Roman" w:hint="default"/>
        <w:b/>
        <w:bCs/>
        <w:spacing w:val="-1"/>
        <w:w w:val="100"/>
        <w:sz w:val="24"/>
        <w:szCs w:val="24"/>
      </w:rPr>
    </w:lvl>
    <w:lvl w:ilvl="1" w:tplc="B80C5DE6">
      <w:start w:val="1"/>
      <w:numFmt w:val="decimal"/>
      <w:lvlText w:val="%2."/>
      <w:lvlJc w:val="left"/>
      <w:pPr>
        <w:ind w:left="1589" w:hanging="283"/>
        <w:jc w:val="left"/>
      </w:pPr>
      <w:rPr>
        <w:rFonts w:hint="default"/>
        <w:spacing w:val="-28"/>
        <w:w w:val="100"/>
      </w:rPr>
    </w:lvl>
    <w:lvl w:ilvl="2" w:tplc="BB2067D0">
      <w:numFmt w:val="bullet"/>
      <w:lvlText w:val="•"/>
      <w:lvlJc w:val="left"/>
      <w:pPr>
        <w:ind w:left="1680" w:hanging="283"/>
      </w:pPr>
      <w:rPr>
        <w:rFonts w:hint="default"/>
      </w:rPr>
    </w:lvl>
    <w:lvl w:ilvl="3" w:tplc="1E0E7358">
      <w:numFmt w:val="bullet"/>
      <w:lvlText w:val="•"/>
      <w:lvlJc w:val="left"/>
      <w:pPr>
        <w:ind w:left="1794" w:hanging="283"/>
      </w:pPr>
      <w:rPr>
        <w:rFonts w:hint="default"/>
      </w:rPr>
    </w:lvl>
    <w:lvl w:ilvl="4" w:tplc="9070C09C">
      <w:numFmt w:val="bullet"/>
      <w:lvlText w:val="•"/>
      <w:lvlJc w:val="left"/>
      <w:pPr>
        <w:ind w:left="1909" w:hanging="283"/>
      </w:pPr>
      <w:rPr>
        <w:rFonts w:hint="default"/>
      </w:rPr>
    </w:lvl>
    <w:lvl w:ilvl="5" w:tplc="BFB633B6">
      <w:numFmt w:val="bullet"/>
      <w:lvlText w:val="•"/>
      <w:lvlJc w:val="left"/>
      <w:pPr>
        <w:ind w:left="2023" w:hanging="283"/>
      </w:pPr>
      <w:rPr>
        <w:rFonts w:hint="default"/>
      </w:rPr>
    </w:lvl>
    <w:lvl w:ilvl="6" w:tplc="5AE8DC64">
      <w:numFmt w:val="bullet"/>
      <w:lvlText w:val="•"/>
      <w:lvlJc w:val="left"/>
      <w:pPr>
        <w:ind w:left="2138" w:hanging="283"/>
      </w:pPr>
      <w:rPr>
        <w:rFonts w:hint="default"/>
      </w:rPr>
    </w:lvl>
    <w:lvl w:ilvl="7" w:tplc="A1B882CA">
      <w:numFmt w:val="bullet"/>
      <w:lvlText w:val="•"/>
      <w:lvlJc w:val="left"/>
      <w:pPr>
        <w:ind w:left="2252" w:hanging="283"/>
      </w:pPr>
      <w:rPr>
        <w:rFonts w:hint="default"/>
      </w:rPr>
    </w:lvl>
    <w:lvl w:ilvl="8" w:tplc="205CAB92">
      <w:numFmt w:val="bullet"/>
      <w:lvlText w:val="•"/>
      <w:lvlJc w:val="left"/>
      <w:pPr>
        <w:ind w:left="2367" w:hanging="283"/>
      </w:pPr>
      <w:rPr>
        <w:rFonts w:hint="default"/>
      </w:rPr>
    </w:lvl>
  </w:abstractNum>
  <w:abstractNum w:abstractNumId="3" w15:restartNumberingAfterBreak="0">
    <w:nsid w:val="6E89478D"/>
    <w:multiLevelType w:val="hybridMultilevel"/>
    <w:tmpl w:val="7E1A40D0"/>
    <w:lvl w:ilvl="0" w:tplc="DC622E2A">
      <w:start w:val="1"/>
      <w:numFmt w:val="upperRoman"/>
      <w:lvlText w:val="%1."/>
      <w:lvlJc w:val="left"/>
      <w:pPr>
        <w:ind w:left="1080" w:hanging="72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D7120F4"/>
    <w:multiLevelType w:val="hybridMultilevel"/>
    <w:tmpl w:val="EF60F9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D2B72"/>
    <w:rsid w:val="00073993"/>
    <w:rsid w:val="000A517A"/>
    <w:rsid w:val="000E35FC"/>
    <w:rsid w:val="000E519A"/>
    <w:rsid w:val="001B33B7"/>
    <w:rsid w:val="00296036"/>
    <w:rsid w:val="00303181"/>
    <w:rsid w:val="00321059"/>
    <w:rsid w:val="00355A7F"/>
    <w:rsid w:val="003C318C"/>
    <w:rsid w:val="003D7331"/>
    <w:rsid w:val="003F2648"/>
    <w:rsid w:val="005244B6"/>
    <w:rsid w:val="0058055E"/>
    <w:rsid w:val="005E2808"/>
    <w:rsid w:val="006540EF"/>
    <w:rsid w:val="006815B6"/>
    <w:rsid w:val="006C2886"/>
    <w:rsid w:val="006D2B72"/>
    <w:rsid w:val="00711238"/>
    <w:rsid w:val="0077092F"/>
    <w:rsid w:val="007E5902"/>
    <w:rsid w:val="007F30F1"/>
    <w:rsid w:val="008478B9"/>
    <w:rsid w:val="00855BF8"/>
    <w:rsid w:val="00857518"/>
    <w:rsid w:val="009173F6"/>
    <w:rsid w:val="0092524E"/>
    <w:rsid w:val="00926836"/>
    <w:rsid w:val="0096280D"/>
    <w:rsid w:val="00996EF4"/>
    <w:rsid w:val="009C5097"/>
    <w:rsid w:val="00A10F1D"/>
    <w:rsid w:val="00A224FF"/>
    <w:rsid w:val="00A83A33"/>
    <w:rsid w:val="00A92520"/>
    <w:rsid w:val="00AA2BDD"/>
    <w:rsid w:val="00B25386"/>
    <w:rsid w:val="00B77D34"/>
    <w:rsid w:val="00C31B98"/>
    <w:rsid w:val="00D71609"/>
    <w:rsid w:val="00DB0336"/>
    <w:rsid w:val="00DC32BF"/>
    <w:rsid w:val="00DE3B10"/>
    <w:rsid w:val="00E12C3C"/>
    <w:rsid w:val="00EA39B5"/>
    <w:rsid w:val="00EB7994"/>
    <w:rsid w:val="00FB1A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7B7B05"/>
  <w15:docId w15:val="{03639C5C-8212-424A-81D5-5CA9DF70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C2886"/>
    <w:pPr>
      <w:ind w:left="720"/>
      <w:contextualSpacing/>
    </w:pPr>
  </w:style>
  <w:style w:type="paragraph" w:styleId="FootnoteText">
    <w:name w:val="footnote text"/>
    <w:basedOn w:val="Normal"/>
    <w:link w:val="FootnoteTextChar"/>
    <w:uiPriority w:val="99"/>
    <w:unhideWhenUsed/>
    <w:rsid w:val="006C2886"/>
    <w:pPr>
      <w:spacing w:after="0" w:line="240" w:lineRule="auto"/>
    </w:pPr>
    <w:rPr>
      <w:sz w:val="20"/>
      <w:szCs w:val="20"/>
    </w:rPr>
  </w:style>
  <w:style w:type="character" w:customStyle="1" w:styleId="FootnoteTextChar">
    <w:name w:val="Footnote Text Char"/>
    <w:basedOn w:val="DefaultParagraphFont"/>
    <w:link w:val="FootnoteText"/>
    <w:uiPriority w:val="99"/>
    <w:rsid w:val="006C2886"/>
    <w:rPr>
      <w:sz w:val="20"/>
      <w:szCs w:val="20"/>
    </w:rPr>
  </w:style>
  <w:style w:type="character" w:styleId="FootnoteReference">
    <w:name w:val="footnote reference"/>
    <w:basedOn w:val="DefaultParagraphFont"/>
    <w:uiPriority w:val="99"/>
    <w:semiHidden/>
    <w:unhideWhenUsed/>
    <w:rsid w:val="006C2886"/>
    <w:rPr>
      <w:vertAlign w:val="superscript"/>
    </w:rPr>
  </w:style>
  <w:style w:type="character" w:styleId="Hyperlink">
    <w:name w:val="Hyperlink"/>
    <w:basedOn w:val="DefaultParagraphFont"/>
    <w:uiPriority w:val="99"/>
    <w:unhideWhenUsed/>
    <w:rsid w:val="006C2886"/>
    <w:rPr>
      <w:color w:val="0000FF" w:themeColor="hyperlink"/>
      <w:u w:val="single"/>
    </w:rPr>
  </w:style>
  <w:style w:type="character" w:customStyle="1" w:styleId="ListParagraphChar">
    <w:name w:val="List Paragraph Char"/>
    <w:link w:val="ListParagraph"/>
    <w:uiPriority w:val="34"/>
    <w:locked/>
    <w:rsid w:val="0096280D"/>
  </w:style>
  <w:style w:type="paragraph" w:styleId="BodyText">
    <w:name w:val="Body Text"/>
    <w:basedOn w:val="Normal"/>
    <w:link w:val="BodyTextChar"/>
    <w:uiPriority w:val="1"/>
    <w:qFormat/>
    <w:rsid w:val="00B77D3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77D3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A3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B5"/>
    <w:rPr>
      <w:rFonts w:ascii="Tahoma" w:hAnsi="Tahoma" w:cs="Tahoma"/>
      <w:sz w:val="16"/>
      <w:szCs w:val="16"/>
    </w:rPr>
  </w:style>
  <w:style w:type="paragraph" w:styleId="Header">
    <w:name w:val="header"/>
    <w:basedOn w:val="Normal"/>
    <w:link w:val="HeaderChar"/>
    <w:uiPriority w:val="99"/>
    <w:unhideWhenUsed/>
    <w:rsid w:val="009C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097"/>
  </w:style>
  <w:style w:type="paragraph" w:styleId="Footer">
    <w:name w:val="footer"/>
    <w:basedOn w:val="Normal"/>
    <w:link w:val="FooterChar"/>
    <w:uiPriority w:val="99"/>
    <w:unhideWhenUsed/>
    <w:rsid w:val="009C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kumonline.com/pusatdata/detail/lt58b442a3e1bd4/node/lt49f8136861e28/putusan-pengadilan-tinggi-jambi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ukumonline.com/pusatdata/detail/lt588b3f71a0069/node/lt49f8136861e28/putusan-ma-no-1270-k_pdt2015pemerintahrepublikindones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ukumonline.com/pusatdata/detail/lt588b3f71a0069/node/lt49f8136861e28/putusan-ma-no-1270-k_pdt_2015%20-pemerintah%20-republik-indonesia%20-vs.-pt.-oto-%20multiarthadiakses" TargetMode="External"/><Relationship Id="rId1" Type="http://schemas.openxmlformats.org/officeDocument/2006/relationships/hyperlink" Target="http://www.hukumonline.com/pusatdata/detail/lt58b442a3e1bd4/node/lt49f8136861e28/putusan-%20pengadilan-tinggi-%20jambi-no-09_pdt_%202014_pt.jbi.%20-pemerintah-re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A16F-D735-4976-AAC4-01E33B68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16</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dc:creator>
  <cp:lastModifiedBy>Artma</cp:lastModifiedBy>
  <cp:revision>39</cp:revision>
  <dcterms:created xsi:type="dcterms:W3CDTF">2020-09-13T16:40:00Z</dcterms:created>
  <dcterms:modified xsi:type="dcterms:W3CDTF">2020-09-16T04:40:00Z</dcterms:modified>
</cp:coreProperties>
</file>